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r w:rsidRPr="00CA1AE9">
        <w:rPr>
          <w:rFonts w:ascii="Frutiger-Black" w:hAnsi="Frutiger-Black" w:cs="Frutiger-Black"/>
          <w:color w:val="54DC00"/>
          <w:sz w:val="32"/>
          <w:szCs w:val="32"/>
        </w:rPr>
        <w:t>«</w:t>
      </w:r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 xml:space="preserve">Meilleur ava n t </w:t>
      </w:r>
      <w:proofErr w:type="gramStart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» ,</w:t>
      </w:r>
      <w:proofErr w:type="gramEnd"/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«Emballé le» et «Utilisez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proofErr w:type="gramStart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avant</w:t>
      </w:r>
      <w:proofErr w:type="gramEnd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»; quelle est la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proofErr w:type="gramStart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différence</w:t>
      </w:r>
      <w:proofErr w:type="gramEnd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 xml:space="preserve"> entre ces trois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proofErr w:type="gramStart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mentions</w:t>
      </w:r>
      <w:proofErr w:type="gramEnd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 xml:space="preserve"> apposées sur les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  <w:proofErr w:type="gramStart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emballages</w:t>
      </w:r>
      <w:proofErr w:type="gramEnd"/>
      <w:r w:rsidRPr="00CA1AE9">
        <w:rPr>
          <w:rFonts w:ascii="Minion-Bold" w:hAnsi="Minion-Bold" w:cs="Minion-Bold"/>
          <w:b/>
          <w:bCs/>
          <w:color w:val="000000"/>
          <w:sz w:val="32"/>
          <w:szCs w:val="32"/>
        </w:rPr>
        <w:t>?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32"/>
          <w:szCs w:val="32"/>
        </w:rPr>
      </w:pP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  <w:r w:rsidRPr="00CA1AE9">
        <w:rPr>
          <w:rFonts w:ascii="Minion-Regular" w:hAnsi="Minion-Regular" w:cs="Minion-Regular"/>
          <w:color w:val="000000"/>
          <w:sz w:val="32"/>
          <w:szCs w:val="32"/>
        </w:rPr>
        <w:t>Les informations sur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durée de conservation des aliments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sont présentes sur 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emballages des aliments depuis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1974. Chaque aliment a une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durée de conservation. La date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péremption correspond à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 durée de conservation avant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ouverture lorsque l’aliment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est entreposé dans les bonnes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conditions, gardant ainsi sa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fraîcheur, son goût et sa valeur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nutritive. Dépassé cette période,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l’aliment peut perdre ses caractéristiques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initiales. Après cette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date, certains aliments doivent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être jetés et d’autres sont encore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bons à la consommation pour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quelque temps.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Une fois l'emballage ouvert,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 date de péremption n’est plus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valide. C’est alors que la durée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conservation varie selon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l’aliment. Pour connaître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durée de conservation des aliments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ouverts, il faut se référer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au </w:t>
      </w:r>
      <w:proofErr w:type="spellStart"/>
      <w:r w:rsidRPr="00CA1AE9">
        <w:rPr>
          <w:rFonts w:ascii="Minion-Regular" w:hAnsi="Minion-Regular" w:cs="Minion-Regular"/>
          <w:color w:val="000000"/>
          <w:sz w:val="32"/>
          <w:szCs w:val="32"/>
        </w:rPr>
        <w:t>Thermoguide</w:t>
      </w:r>
      <w:proofErr w:type="spellEnd"/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 du MAPAQ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(accéder au document en tapant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proofErr w:type="spellStart"/>
      <w:r w:rsidRPr="00CA1AE9">
        <w:rPr>
          <w:rFonts w:ascii="Minion-Regular" w:hAnsi="Minion-Regular" w:cs="Minion-Regular"/>
          <w:color w:val="000000"/>
          <w:sz w:val="32"/>
          <w:szCs w:val="32"/>
        </w:rPr>
        <w:t>Thermoguide</w:t>
      </w:r>
      <w:proofErr w:type="spellEnd"/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 sur le Web). Voici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un exemple: la date de péremption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indiquée sur l’emballage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 fromage cottage est «2014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20». Après ouverture,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durée de conservation du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fromage cottage est de 3 à 5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jours. Si l’aliment est affecté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durant sa manipulation et le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transport, sa durée de conservation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sera plus courte que prévu.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On ne peut pas se fier à son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nez, à la vue et au goût de l’aliment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déterminer s’il est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contaminé par des bactéries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nuisibles. C’est pourquoi il faut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ranger les aliments périssables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tels les viandes, les produits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laitiers et les aliments à base de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mayonnaise le plus rapidement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possible. Il est toujours fâcheux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devoir jeter des aliments,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mais en cas de doute il est préférable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les jeter.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une conservation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adéquate, assurez-vous régulièrement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vérifier la température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 réfrigérateur. Celle-ci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doit se situer entre 0 et 4 °C.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Il faut aussi éviter de trop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compacter le réfrigérateur, car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l’air ne circule pas bien et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lastRenderedPageBreak/>
        <w:t>température peut être affectée.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Il est recommandé de ne pas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ranger les aliments périssables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dans la porte du réfrigérateur.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L’ouverture fréquente de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porte affecte la température.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Rangez donc le lait, les </w:t>
      </w:r>
      <w:proofErr w:type="spellStart"/>
      <w:r w:rsidRPr="00CA1AE9">
        <w:rPr>
          <w:rFonts w:ascii="Minion-Regular" w:hAnsi="Minion-Regular" w:cs="Minion-Regular"/>
          <w:color w:val="000000"/>
          <w:sz w:val="32"/>
          <w:szCs w:val="32"/>
        </w:rPr>
        <w:t>oeufs</w:t>
      </w:r>
      <w:proofErr w:type="spellEnd"/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 et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 viande au bas du réfrigérateur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ou dans les tiroirs conçus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maintenir la température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plus basse et plus constante.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2"/>
          <w:szCs w:val="32"/>
        </w:rPr>
      </w:pPr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>Doit-on jeter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  <w:proofErr w:type="gramStart"/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>des</w:t>
      </w:r>
      <w:proofErr w:type="gramEnd"/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 xml:space="preserve"> biscuits périmés?</w:t>
      </w:r>
      <w:r>
        <w:rPr>
          <w:rFonts w:ascii="Frutiger-Bold" w:hAnsi="Frutiger-Bold" w:cs="Frutiger-Bold"/>
          <w:b/>
          <w:bCs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Une boîte de biscuits non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ouverte est expirée depuis deux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semaines. Doit-on la jeter? Non,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si les biscuits ont été entreposés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correctement à la température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ambiante à 20 °C. Seuls les aliments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peu périssables tels 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biscuits, les pâtes, les grignotines,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les céréales et le yogourt,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qui a un pH acide, sont sans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danger à consommer quelques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semaines après la date de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péremption. Les conserves en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bon état (sans bosse, sans déformation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et sans rouille) peuvent,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leur part, être consommées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plusieurs mois, voire un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an après la date de péremption.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2"/>
          <w:szCs w:val="32"/>
        </w:rPr>
      </w:pPr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>Les différentes mentions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2"/>
          <w:szCs w:val="32"/>
        </w:rPr>
      </w:pPr>
      <w:proofErr w:type="gramStart"/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>de</w:t>
      </w:r>
      <w:proofErr w:type="gramEnd"/>
      <w:r w:rsidRPr="00CA1AE9">
        <w:rPr>
          <w:rFonts w:ascii="Frutiger-Bold" w:hAnsi="Frutiger-Bold" w:cs="Frutiger-Bold"/>
          <w:b/>
          <w:bCs/>
          <w:color w:val="000000"/>
          <w:sz w:val="32"/>
          <w:szCs w:val="32"/>
        </w:rPr>
        <w:t xml:space="preserve"> péremption</w:t>
      </w:r>
    </w:p>
    <w:p w:rsidR="000D356A" w:rsidRPr="00CA1AE9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  <w:r w:rsidRPr="00CA1AE9">
        <w:rPr>
          <w:rFonts w:ascii="Minion-Regular" w:hAnsi="Minion-Regular" w:cs="Minion-Regular"/>
          <w:color w:val="000000"/>
          <w:sz w:val="32"/>
          <w:szCs w:val="32"/>
        </w:rPr>
        <w:t>Pour y voir plus clair, voici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définition des différentes mentions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que l’on appose sur 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emballages des aliments.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  <w:r w:rsidRPr="00CA1AE9">
        <w:rPr>
          <w:rFonts w:ascii="Minion-Regular" w:hAnsi="Minion-Regular" w:cs="Minion-Regular"/>
          <w:color w:val="000000"/>
          <w:sz w:val="32"/>
          <w:szCs w:val="32"/>
        </w:rPr>
        <w:t>- «Meilleur avant»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ou «Empaqueté le»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Cette mention est apposée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sur les aliments préemballés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ayant une durée de conservation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moins de 90 jours.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Après ouverture, il faut se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référer au délai de conservation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du </w:t>
      </w:r>
      <w:proofErr w:type="spellStart"/>
      <w:r w:rsidRPr="00CA1AE9">
        <w:rPr>
          <w:rFonts w:ascii="Minion-Regular" w:hAnsi="Minion-Regular" w:cs="Minion-Regular"/>
          <w:color w:val="000000"/>
          <w:sz w:val="32"/>
          <w:szCs w:val="32"/>
        </w:rPr>
        <w:t>Thermoguide</w:t>
      </w:r>
      <w:proofErr w:type="spellEnd"/>
      <w:r w:rsidRPr="00CA1AE9">
        <w:rPr>
          <w:rFonts w:ascii="Minion-Regular" w:hAnsi="Minion-Regular" w:cs="Minion-Regular"/>
          <w:color w:val="000000"/>
          <w:sz w:val="32"/>
          <w:szCs w:val="32"/>
        </w:rPr>
        <w:t>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- «Employer avant»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Utiliser pour la levure fraîche.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 levure ne doit pas être utilisée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après la date. Il faut congeler la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levure avant la date.</w:t>
      </w:r>
    </w:p>
    <w:p w:rsidR="000D356A" w:rsidRDefault="000D356A" w:rsidP="000D356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32"/>
          <w:szCs w:val="32"/>
        </w:rPr>
      </w:pPr>
      <w:r w:rsidRPr="00CA1AE9">
        <w:rPr>
          <w:rFonts w:ascii="Minion-Regular" w:hAnsi="Minion-Regular" w:cs="Minion-Regular"/>
          <w:color w:val="000000"/>
          <w:sz w:val="32"/>
          <w:szCs w:val="32"/>
        </w:rPr>
        <w:t>- «Utiliser avant»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La mention est pour les préparations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nourrissons, les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préparations pour les régimes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liquides, les aliments destinés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aux régimes à faible teneur en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énergie, les substituts de repas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et les suppléments nutritifs.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Il ne faut pas consommer ces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aliments après la date limite.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- Aucune information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Les aliments qui ont une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durée de conservation de plus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de 90 jours ne sont pas tenus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d’indiquer une date de péremption.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Une fois ouvert, il faut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manger l’aliment selon les délais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 xml:space="preserve">du </w:t>
      </w:r>
      <w:proofErr w:type="spellStart"/>
      <w:r w:rsidRPr="00CA1AE9">
        <w:rPr>
          <w:rFonts w:ascii="Minion-Regular" w:hAnsi="Minion-Regular" w:cs="Minion-Regular"/>
          <w:color w:val="000000"/>
          <w:sz w:val="32"/>
          <w:szCs w:val="32"/>
        </w:rPr>
        <w:t>Thermoguide</w:t>
      </w:r>
      <w:proofErr w:type="spellEnd"/>
      <w:r w:rsidRPr="00CA1AE9">
        <w:rPr>
          <w:rFonts w:ascii="Minion-Regular" w:hAnsi="Minion-Regular" w:cs="Minion-Regular"/>
          <w:color w:val="000000"/>
          <w:sz w:val="32"/>
          <w:szCs w:val="32"/>
        </w:rPr>
        <w:t>. Il arrive que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certaines compagnies indiquent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une date de péremption même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s’ils n’ont pas l’obligation, et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ce, par souci de fraîcheur et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une bonne rotation des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p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roduits.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Pour des informations,</w:t>
      </w:r>
      <w:r>
        <w:rPr>
          <w:rFonts w:ascii="Minion-Regular" w:hAnsi="Minion-Regular" w:cs="Minion-Regular"/>
          <w:color w:val="000000"/>
          <w:sz w:val="32"/>
          <w:szCs w:val="32"/>
        </w:rPr>
        <w:t xml:space="preserve"> </w:t>
      </w:r>
      <w:r w:rsidRPr="00CA1AE9">
        <w:rPr>
          <w:rFonts w:ascii="Minion-Regular" w:hAnsi="Minion-Regular" w:cs="Minion-Regular"/>
          <w:color w:val="000000"/>
          <w:sz w:val="32"/>
          <w:szCs w:val="32"/>
        </w:rPr>
        <w:t>contactez-moi au 450 358-2002.</w:t>
      </w:r>
    </w:p>
    <w:p w:rsidR="000D356A" w:rsidRDefault="000D356A" w:rsidP="000D356A">
      <w:pPr>
        <w:rPr>
          <w:rFonts w:ascii="Minion-Regular" w:hAnsi="Minion-Regular" w:cs="Minion-Regular"/>
          <w:color w:val="000000"/>
          <w:sz w:val="32"/>
          <w:szCs w:val="32"/>
        </w:rPr>
      </w:pPr>
    </w:p>
    <w:p w:rsidR="00B229C8" w:rsidRDefault="00B229C8">
      <w:bookmarkStart w:id="0" w:name="_GoBack"/>
      <w:bookmarkEnd w:id="0"/>
    </w:p>
    <w:sectPr w:rsidR="00B229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A"/>
    <w:rsid w:val="000D356A"/>
    <w:rsid w:val="00B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Desranleau, Sylvie</dc:creator>
  <cp:lastModifiedBy>Desranleau, Sylvie</cp:lastModifiedBy>
  <cp:revision>1</cp:revision>
  <dcterms:created xsi:type="dcterms:W3CDTF">2014-12-10T16:24:00Z</dcterms:created>
  <dcterms:modified xsi:type="dcterms:W3CDTF">2014-12-10T16:24:00Z</dcterms:modified>
</cp:coreProperties>
</file>