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00" w:rsidRPr="00B507F7" w:rsidRDefault="00AB0F00" w:rsidP="00AB0F00">
      <w:pPr>
        <w:spacing w:before="100" w:beforeAutospacing="1" w:after="100" w:afterAutospacing="1" w:line="240" w:lineRule="auto"/>
        <w:jc w:val="center"/>
        <w:rPr>
          <w:rFonts w:ascii="Times New Roman" w:eastAsia="Times New Roman" w:hAnsi="Times New Roman" w:cs="Times New Roman"/>
          <w:color w:val="333333"/>
          <w:sz w:val="24"/>
          <w:szCs w:val="24"/>
          <w:lang w:eastAsia="fr-CA"/>
        </w:rPr>
      </w:pPr>
      <w:bookmarkStart w:id="0" w:name="OLE_LINK1"/>
      <w:bookmarkStart w:id="1" w:name="OLE_LINK2"/>
      <w:r>
        <w:rPr>
          <w:rFonts w:ascii="Times New Roman" w:eastAsia="Times New Roman" w:hAnsi="Times New Roman" w:cs="Times New Roman"/>
          <w:noProof/>
          <w:color w:val="006666"/>
          <w:sz w:val="24"/>
          <w:szCs w:val="24"/>
          <w:lang w:eastAsia="fr-CA"/>
        </w:rPr>
        <w:drawing>
          <wp:inline distT="0" distB="0" distL="0" distR="0">
            <wp:extent cx="762000" cy="504825"/>
            <wp:effectExtent l="19050" t="0" r="0" b="0"/>
            <wp:docPr id="1" name="Image 1" descr="ACCUE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a:hlinkClick r:id="rId5"/>
                    </pic:cNvPr>
                    <pic:cNvPicPr>
                      <a:picLocks noChangeAspect="1" noChangeArrowheads="1"/>
                    </pic:cNvPicPr>
                  </pic:nvPicPr>
                  <pic:blipFill>
                    <a:blip r:embed="rId6"/>
                    <a:srcRect/>
                    <a:stretch>
                      <a:fillRect/>
                    </a:stretch>
                  </pic:blipFill>
                  <pic:spPr bwMode="auto">
                    <a:xfrm>
                      <a:off x="0" y="0"/>
                      <a:ext cx="762000" cy="504825"/>
                    </a:xfrm>
                    <a:prstGeom prst="rect">
                      <a:avLst/>
                    </a:prstGeom>
                    <a:noFill/>
                    <a:ln w="9525">
                      <a:noFill/>
                      <a:miter lim="800000"/>
                      <a:headEnd/>
                      <a:tailEnd/>
                    </a:ln>
                  </pic:spPr>
                </pic:pic>
              </a:graphicData>
            </a:graphic>
          </wp:inline>
        </w:drawing>
      </w:r>
    </w:p>
    <w:tbl>
      <w:tblPr>
        <w:tblW w:w="5384" w:type="pct"/>
        <w:tblCellSpacing w:w="15" w:type="dxa"/>
        <w:tblCellMar>
          <w:top w:w="15" w:type="dxa"/>
          <w:left w:w="15" w:type="dxa"/>
          <w:bottom w:w="15" w:type="dxa"/>
          <w:right w:w="15" w:type="dxa"/>
        </w:tblCellMar>
        <w:tblLook w:val="04A0" w:firstRow="1" w:lastRow="0" w:firstColumn="1" w:lastColumn="0" w:noHBand="0" w:noVBand="1"/>
      </w:tblPr>
      <w:tblGrid>
        <w:gridCol w:w="95"/>
        <w:gridCol w:w="9305"/>
      </w:tblGrid>
      <w:tr w:rsidR="00AB0F00" w:rsidRPr="00B507F7" w:rsidTr="00BE61D0">
        <w:trPr>
          <w:tblCellSpacing w:w="15" w:type="dxa"/>
        </w:trPr>
        <w:tc>
          <w:tcPr>
            <w:tcW w:w="27" w:type="pct"/>
            <w:vAlign w:val="center"/>
            <w:hideMark/>
          </w:tcPr>
          <w:p w:rsidR="00AB0F00" w:rsidRPr="00B507F7" w:rsidRDefault="00AB0F00" w:rsidP="00BE61D0">
            <w:pPr>
              <w:spacing w:after="0" w:line="240" w:lineRule="auto"/>
              <w:rPr>
                <w:rFonts w:ascii="Times New Roman" w:eastAsia="Times New Roman" w:hAnsi="Times New Roman" w:cs="Times New Roman"/>
                <w:sz w:val="24"/>
                <w:szCs w:val="24"/>
                <w:lang w:eastAsia="fr-CA"/>
              </w:rPr>
            </w:pPr>
          </w:p>
        </w:tc>
        <w:tc>
          <w:tcPr>
            <w:tcW w:w="4926" w:type="pct"/>
            <w:vAlign w:val="center"/>
            <w:hideMark/>
          </w:tcPr>
          <w:p w:rsidR="00AB0F00" w:rsidRPr="00B507F7" w:rsidRDefault="00AB0F00" w:rsidP="00BE61D0">
            <w:pPr>
              <w:spacing w:before="135" w:after="90" w:line="240" w:lineRule="auto"/>
              <w:jc w:val="center"/>
              <w:rPr>
                <w:rFonts w:ascii="Times New Roman" w:eastAsia="Times New Roman" w:hAnsi="Times New Roman" w:cs="Times New Roman"/>
                <w:sz w:val="24"/>
                <w:szCs w:val="24"/>
                <w:lang w:eastAsia="fr-CA"/>
              </w:rPr>
            </w:pPr>
            <w:r w:rsidRPr="00B507F7">
              <w:rPr>
                <w:rFonts w:ascii="Verdana" w:eastAsia="Times New Roman" w:hAnsi="Verdana" w:cs="Times New Roman"/>
                <w:sz w:val="27"/>
                <w:szCs w:val="27"/>
                <w:lang w:eastAsia="fr-CA"/>
              </w:rPr>
              <w:t>"Je mesure 5 pieds 8 pouces et je pèse 150 livres" </w:t>
            </w:r>
          </w:p>
          <w:p w:rsidR="00AB0F00" w:rsidRPr="00B507F7" w:rsidRDefault="00AB0F00" w:rsidP="00BE61D0">
            <w:pPr>
              <w:spacing w:before="135" w:after="90" w:line="240" w:lineRule="auto"/>
              <w:jc w:val="center"/>
              <w:rPr>
                <w:rFonts w:ascii="Times New Roman" w:eastAsia="Times New Roman" w:hAnsi="Times New Roman" w:cs="Times New Roman"/>
                <w:sz w:val="24"/>
                <w:szCs w:val="24"/>
                <w:lang w:eastAsia="fr-CA"/>
              </w:rPr>
            </w:pPr>
            <w:r w:rsidRPr="00B507F7">
              <w:rPr>
                <w:rFonts w:ascii="Times New Roman" w:eastAsia="Times New Roman" w:hAnsi="Times New Roman" w:cs="Times New Roman"/>
                <w:sz w:val="24"/>
                <w:szCs w:val="24"/>
                <w:lang w:eastAsia="fr-CA"/>
              </w:rPr>
              <w:t>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vous dira un Québécois, </w:t>
            </w:r>
            <w:proofErr w:type="spellStart"/>
            <w:r w:rsidRPr="00B507F7">
              <w:rPr>
                <w:rFonts w:ascii="Verdana" w:eastAsia="Times New Roman" w:hAnsi="Verdana" w:cs="Times New Roman"/>
                <w:sz w:val="20"/>
                <w:szCs w:val="20"/>
                <w:lang w:eastAsia="fr-CA"/>
              </w:rPr>
              <w:t>hmm</w:t>
            </w:r>
            <w:proofErr w:type="spellEnd"/>
            <w:r w:rsidRPr="00B507F7">
              <w:rPr>
                <w:rFonts w:ascii="Verdana" w:eastAsia="Times New Roman" w:hAnsi="Verdana" w:cs="Times New Roman"/>
                <w:sz w:val="20"/>
                <w:szCs w:val="20"/>
                <w:lang w:eastAsia="fr-CA"/>
              </w:rPr>
              <w:t>..., ça ne vous dit pas grand chose, surtout qu'une livre ce n'est pas exactement 500 g.</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Les Français de la Nouvelle-France n'ont pas connu la Révolution Française et l'arrivée du système métrique (mètres, grammes, litres, divisés ou multipliés par 10, 100, 1000). Ils sont passés du système royal français au système anglais puis au système impérial britannique. Ces trois systèmes avaient beaucoup de points communs (utilisation des pieds, pouces, livres, onces, etc.).</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Dans les années 1970, le gouvernement canadien rend le système métrique officiel.</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Pourtant, jusqu'à aujourd'hui, les Canadiens, y compris les Québécois, utilisent encore les anciennes mesures, mais pas dans tous les cas, le système métrique s'imposant facilement dans certains cas et très peu dans d'autres. La situation est un peu confuse, certains Canadiens ont parfois du mal à s'y retrouver.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On se défait pas si vite de ses habitudes, surtout que les voisins américains en sont restés à un système proche du système impérial britannique, et les échanges économiques étant importants, il est donc difficile au Canada de se convertir entièrement au système métrique.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Il y a aussi une différence entre les générations. Les moins de 35 ans, qui ont appris le système métrique dès l'école primaire, utilisent plus celui-ci, tandis que les plus de 50 ans, à qui on n'a pas jamais enseigné le système métrique, sont plus fidèles aux anciennes unités de mesures. Il arrive donc parfois que deux Québécois dont la différence d'âge est de plus de 30 ans n'arrivent pas à bien se comprendre.</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Enfin, il faut préciser que le Québec, francophone et donc moins sous l'influence américaine, semble intégrer plus vite et mieux le système métrique que les parties anglophones du Canada.</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Voici un état des lieux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Times New Roman" w:eastAsia="Times New Roman" w:hAnsi="Times New Roman" w:cs="Times New Roman"/>
                <w:sz w:val="24"/>
                <w:szCs w:val="24"/>
                <w:lang w:eastAsia="fr-CA"/>
              </w:rPr>
              <w:t>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b/>
                <w:bCs/>
                <w:i/>
                <w:iCs/>
                <w:sz w:val="24"/>
                <w:szCs w:val="24"/>
                <w:lang w:eastAsia="fr-CA"/>
              </w:rPr>
              <w:t>Les distances et longueurs : mètres ou pieds ? centimètres ou pouces ? Kilomètres ou Milles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Les </w:t>
            </w:r>
            <w:r w:rsidRPr="00B507F7">
              <w:rPr>
                <w:rFonts w:ascii="Verdana" w:eastAsia="Times New Roman" w:hAnsi="Verdana" w:cs="Times New Roman"/>
                <w:b/>
                <w:bCs/>
                <w:sz w:val="20"/>
                <w:szCs w:val="20"/>
                <w:lang w:eastAsia="fr-CA"/>
              </w:rPr>
              <w:t>grandes distances</w:t>
            </w:r>
            <w:r w:rsidRPr="00B507F7">
              <w:rPr>
                <w:rFonts w:ascii="Verdana" w:eastAsia="Times New Roman" w:hAnsi="Verdana" w:cs="Times New Roman"/>
                <w:sz w:val="20"/>
                <w:szCs w:val="20"/>
                <w:lang w:eastAsia="fr-CA"/>
              </w:rPr>
              <w:t xml:space="preserve"> se mesurent désormais en </w:t>
            </w:r>
            <w:r w:rsidRPr="00B507F7">
              <w:rPr>
                <w:rFonts w:ascii="Verdana" w:eastAsia="Times New Roman" w:hAnsi="Verdana" w:cs="Times New Roman"/>
                <w:b/>
                <w:bCs/>
                <w:sz w:val="20"/>
                <w:szCs w:val="20"/>
                <w:lang w:eastAsia="fr-CA"/>
              </w:rPr>
              <w:t>kilomètres</w:t>
            </w:r>
            <w:r w:rsidRPr="00B507F7">
              <w:rPr>
                <w:rFonts w:ascii="Verdana" w:eastAsia="Times New Roman" w:hAnsi="Verdana" w:cs="Times New Roman"/>
                <w:sz w:val="20"/>
                <w:szCs w:val="20"/>
                <w:lang w:eastAsia="fr-CA"/>
              </w:rPr>
              <w:t xml:space="preserve">  plutôt qu'en Milles (bien qu'elles s'expriment le plus souvent en heures), et la vitesse en </w:t>
            </w:r>
            <w:r w:rsidRPr="00B507F7">
              <w:rPr>
                <w:rFonts w:ascii="Verdana" w:eastAsia="Times New Roman" w:hAnsi="Verdana" w:cs="Times New Roman"/>
                <w:b/>
                <w:bCs/>
                <w:sz w:val="20"/>
                <w:szCs w:val="20"/>
                <w:lang w:eastAsia="fr-CA"/>
              </w:rPr>
              <w:t>Km/h</w:t>
            </w:r>
            <w:r w:rsidRPr="00B507F7">
              <w:rPr>
                <w:rFonts w:ascii="Verdana" w:eastAsia="Times New Roman" w:hAnsi="Verdana" w:cs="Times New Roman"/>
                <w:sz w:val="20"/>
                <w:szCs w:val="20"/>
                <w:lang w:eastAsia="fr-CA"/>
              </w:rPr>
              <w:t>. La signalisation routière a fini par convertir presque tout le monde, sauf les personnes plus âgées encore habituées aux milles (miles en anglais) et aux milles à l'heure.</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Mais les </w:t>
            </w:r>
            <w:r w:rsidRPr="00B507F7">
              <w:rPr>
                <w:rFonts w:ascii="Verdana" w:eastAsia="Times New Roman" w:hAnsi="Verdana" w:cs="Times New Roman"/>
                <w:b/>
                <w:bCs/>
                <w:sz w:val="20"/>
                <w:szCs w:val="20"/>
                <w:lang w:eastAsia="fr-CA"/>
              </w:rPr>
              <w:t>distances plus courtes</w:t>
            </w:r>
            <w:r w:rsidRPr="00B507F7">
              <w:rPr>
                <w:rFonts w:ascii="Verdana" w:eastAsia="Times New Roman" w:hAnsi="Verdana" w:cs="Times New Roman"/>
                <w:sz w:val="20"/>
                <w:szCs w:val="20"/>
                <w:lang w:eastAsia="fr-CA"/>
              </w:rPr>
              <w:t xml:space="preserve">, qui se font à pied, s'expriment encore souvent en </w:t>
            </w:r>
            <w:r w:rsidRPr="00B507F7">
              <w:rPr>
                <w:rFonts w:ascii="Verdana" w:eastAsia="Times New Roman" w:hAnsi="Verdana" w:cs="Times New Roman"/>
                <w:b/>
                <w:bCs/>
                <w:sz w:val="20"/>
                <w:szCs w:val="20"/>
                <w:lang w:eastAsia="fr-CA"/>
              </w:rPr>
              <w:t>pieds</w:t>
            </w:r>
            <w:r w:rsidRPr="00B507F7">
              <w:rPr>
                <w:rFonts w:ascii="Verdana" w:eastAsia="Times New Roman" w:hAnsi="Verdana" w:cs="Times New Roman"/>
                <w:sz w:val="20"/>
                <w:szCs w:val="20"/>
                <w:lang w:eastAsia="fr-CA"/>
              </w:rPr>
              <w:t>, justement (1000 pieds = 300 m environ), même chez les jeunes, qui utilisent aussi les mètres.</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Les </w:t>
            </w:r>
            <w:r w:rsidRPr="00B507F7">
              <w:rPr>
                <w:rFonts w:ascii="Verdana" w:eastAsia="Times New Roman" w:hAnsi="Verdana" w:cs="Times New Roman"/>
                <w:b/>
                <w:bCs/>
                <w:sz w:val="20"/>
                <w:szCs w:val="20"/>
                <w:lang w:eastAsia="fr-CA"/>
              </w:rPr>
              <w:t>pieds</w:t>
            </w:r>
            <w:r w:rsidRPr="00B507F7">
              <w:rPr>
                <w:rFonts w:ascii="Verdana" w:eastAsia="Times New Roman" w:hAnsi="Verdana" w:cs="Times New Roman"/>
                <w:sz w:val="20"/>
                <w:szCs w:val="20"/>
                <w:lang w:eastAsia="fr-CA"/>
              </w:rPr>
              <w:t xml:space="preserve">, divisés en 12 </w:t>
            </w:r>
            <w:r w:rsidRPr="00B507F7">
              <w:rPr>
                <w:rFonts w:ascii="Verdana" w:eastAsia="Times New Roman" w:hAnsi="Verdana" w:cs="Times New Roman"/>
                <w:b/>
                <w:bCs/>
                <w:sz w:val="20"/>
                <w:szCs w:val="20"/>
                <w:lang w:eastAsia="fr-CA"/>
              </w:rPr>
              <w:t>pouces</w:t>
            </w:r>
            <w:r w:rsidRPr="00B507F7">
              <w:rPr>
                <w:rFonts w:ascii="Verdana" w:eastAsia="Times New Roman" w:hAnsi="Verdana" w:cs="Times New Roman"/>
                <w:sz w:val="20"/>
                <w:szCs w:val="20"/>
                <w:lang w:eastAsia="fr-CA"/>
              </w:rPr>
              <w:t xml:space="preserve">, sont utilisés pour la grandeur des objets, certains jeunes </w:t>
            </w:r>
            <w:r w:rsidRPr="00B507F7">
              <w:rPr>
                <w:rFonts w:ascii="Verdana" w:eastAsia="Times New Roman" w:hAnsi="Verdana" w:cs="Times New Roman"/>
                <w:sz w:val="20"/>
                <w:szCs w:val="20"/>
                <w:lang w:eastAsia="fr-CA"/>
              </w:rPr>
              <w:lastRenderedPageBreak/>
              <w:t xml:space="preserve">toutefois préfèrent les </w:t>
            </w:r>
            <w:r w:rsidRPr="00B507F7">
              <w:rPr>
                <w:rFonts w:ascii="Verdana" w:eastAsia="Times New Roman" w:hAnsi="Verdana" w:cs="Times New Roman"/>
                <w:b/>
                <w:bCs/>
                <w:sz w:val="20"/>
                <w:szCs w:val="20"/>
                <w:lang w:eastAsia="fr-CA"/>
              </w:rPr>
              <w:t>centimètres</w:t>
            </w:r>
            <w:r w:rsidRPr="00B507F7">
              <w:rPr>
                <w:rFonts w:ascii="Verdana" w:eastAsia="Times New Roman" w:hAnsi="Verdana" w:cs="Times New Roman"/>
                <w:sz w:val="20"/>
                <w:szCs w:val="20"/>
                <w:lang w:eastAsia="fr-CA"/>
              </w:rPr>
              <w:t>.</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Curieusement, pour les surfaces des maisons et appartements, tout le monde utilise encore les pieds carrés.</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Pour les longueurs très petites, les </w:t>
            </w:r>
            <w:r w:rsidRPr="00B507F7">
              <w:rPr>
                <w:rFonts w:ascii="Verdana" w:eastAsia="Times New Roman" w:hAnsi="Verdana" w:cs="Times New Roman"/>
                <w:b/>
                <w:bCs/>
                <w:sz w:val="20"/>
                <w:szCs w:val="20"/>
                <w:lang w:eastAsia="fr-CA"/>
              </w:rPr>
              <w:t>millimètres</w:t>
            </w:r>
            <w:r w:rsidRPr="00B507F7">
              <w:rPr>
                <w:rFonts w:ascii="Verdana" w:eastAsia="Times New Roman" w:hAnsi="Verdana" w:cs="Times New Roman"/>
                <w:sz w:val="20"/>
                <w:szCs w:val="20"/>
                <w:lang w:eastAsia="fr-CA"/>
              </w:rPr>
              <w:t xml:space="preserve"> sont de plus en plus préférés car les pouces (2,54 cm) sont divisés en demi, quart, huitième et seizième dans le système britannique, ce qui est moins pratique que la division par 10 des cm.</w:t>
            </w:r>
            <w:r w:rsidRPr="00B507F7">
              <w:rPr>
                <w:rFonts w:ascii="Times New Roman" w:eastAsia="Times New Roman" w:hAnsi="Times New Roman" w:cs="Times New Roman"/>
                <w:sz w:val="24"/>
                <w:szCs w:val="24"/>
                <w:lang w:eastAsia="fr-CA"/>
              </w:rPr>
              <w:t xml:space="preserve"> </w:t>
            </w:r>
            <w:r w:rsidRPr="00B507F7">
              <w:rPr>
                <w:rFonts w:ascii="Verdana" w:eastAsia="Times New Roman" w:hAnsi="Verdana" w:cs="Times New Roman"/>
                <w:sz w:val="20"/>
                <w:szCs w:val="20"/>
                <w:lang w:eastAsia="fr-CA"/>
              </w:rPr>
              <w:t>En fait cela dépend du contexte. Pour mesurer des planches, on utilise les pouces, alors que dans un livre de couture, les mesures sont données en cm/mm. D'ailleurs pour le découpage du bois ou autre type de découpage du même ordre de grandeur, on a recours aux demis et quart de pouces. Et normalement on devrait utiliser aussi les 1/8 et 1/16 mais cela est un peu compliqué car 1/4 + 1/8 = ... alors ça fait combien ? Bon vous voyez ce n'est pas "automatique". Ça fait 3/8. Alors on s'arrête aux 1/4 de pouces et on dit "fort" s'il faut ajouter environ un millimètre ou "faible" s'il faut retrancher un millimètre.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Presque toutes les règles des écoliers ont un côté gradué en cm, et l'autre en pouces.</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Les </w:t>
            </w:r>
            <w:r w:rsidRPr="00B507F7">
              <w:rPr>
                <w:rFonts w:ascii="Verdana" w:eastAsia="Times New Roman" w:hAnsi="Verdana" w:cs="Times New Roman"/>
                <w:b/>
                <w:bCs/>
                <w:sz w:val="20"/>
                <w:szCs w:val="20"/>
                <w:lang w:eastAsia="fr-CA"/>
              </w:rPr>
              <w:t>verges</w:t>
            </w:r>
            <w:r w:rsidRPr="00B507F7">
              <w:rPr>
                <w:rFonts w:ascii="Verdana" w:eastAsia="Times New Roman" w:hAnsi="Verdana" w:cs="Times New Roman"/>
                <w:sz w:val="20"/>
                <w:szCs w:val="20"/>
                <w:lang w:eastAsia="fr-CA"/>
              </w:rPr>
              <w:t xml:space="preserve"> (yard en anglais) ne sont quasiment plus utilisées. Les plus jeunes ne savent même pas ce que ça représente </w:t>
            </w:r>
            <w:proofErr w:type="gramStart"/>
            <w:r w:rsidRPr="00B507F7">
              <w:rPr>
                <w:rFonts w:ascii="Verdana" w:eastAsia="Times New Roman" w:hAnsi="Verdana" w:cs="Times New Roman"/>
                <w:sz w:val="20"/>
                <w:szCs w:val="20"/>
                <w:lang w:eastAsia="fr-CA"/>
              </w:rPr>
              <w:t>( 3</w:t>
            </w:r>
            <w:proofErr w:type="gramEnd"/>
            <w:r w:rsidRPr="00B507F7">
              <w:rPr>
                <w:rFonts w:ascii="Verdana" w:eastAsia="Times New Roman" w:hAnsi="Verdana" w:cs="Times New Roman"/>
                <w:sz w:val="20"/>
                <w:szCs w:val="20"/>
                <w:lang w:eastAsia="fr-CA"/>
              </w:rPr>
              <w:t xml:space="preserve"> pieds), et ça fait sourire vu que ce mot est utilisé pour vous savez quoi. Il n'y a guère qu'au football américain où l'on raisonne encore en verges.</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Times New Roman" w:eastAsia="Times New Roman" w:hAnsi="Times New Roman" w:cs="Times New Roman"/>
                <w:sz w:val="24"/>
                <w:szCs w:val="24"/>
                <w:lang w:eastAsia="fr-CA"/>
              </w:rPr>
              <w:t>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b/>
                <w:bCs/>
                <w:i/>
                <w:iCs/>
                <w:sz w:val="24"/>
                <w:szCs w:val="24"/>
                <w:lang w:eastAsia="fr-CA"/>
              </w:rPr>
              <w:t>Le poids et la taille</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Les Canadiens connaissent leur taille en </w:t>
            </w:r>
            <w:r w:rsidRPr="00B507F7">
              <w:rPr>
                <w:rFonts w:ascii="Verdana" w:eastAsia="Times New Roman" w:hAnsi="Verdana" w:cs="Times New Roman"/>
                <w:b/>
                <w:bCs/>
                <w:sz w:val="20"/>
                <w:szCs w:val="20"/>
                <w:lang w:eastAsia="fr-CA"/>
              </w:rPr>
              <w:t>pieds et pouces</w:t>
            </w:r>
            <w:r w:rsidRPr="00B507F7">
              <w:rPr>
                <w:rFonts w:ascii="Verdana" w:eastAsia="Times New Roman" w:hAnsi="Verdana" w:cs="Times New Roman"/>
                <w:sz w:val="20"/>
                <w:szCs w:val="20"/>
                <w:lang w:eastAsia="fr-CA"/>
              </w:rPr>
              <w:t xml:space="preserve">, beaucoup plus rarement en </w:t>
            </w:r>
            <w:r w:rsidRPr="00B507F7">
              <w:rPr>
                <w:rFonts w:ascii="Verdana" w:eastAsia="Times New Roman" w:hAnsi="Verdana" w:cs="Times New Roman"/>
                <w:b/>
                <w:bCs/>
                <w:sz w:val="20"/>
                <w:szCs w:val="20"/>
                <w:lang w:eastAsia="fr-CA"/>
              </w:rPr>
              <w:t>cm</w:t>
            </w:r>
            <w:r w:rsidRPr="00B507F7">
              <w:rPr>
                <w:rFonts w:ascii="Verdana" w:eastAsia="Times New Roman" w:hAnsi="Verdana" w:cs="Times New Roman"/>
                <w:sz w:val="20"/>
                <w:szCs w:val="20"/>
                <w:lang w:eastAsia="fr-CA"/>
              </w:rPr>
              <w:t xml:space="preserve">. Une personne est grande si elle atteint la barre psychologique des </w:t>
            </w:r>
            <w:r w:rsidRPr="00B507F7">
              <w:rPr>
                <w:rFonts w:ascii="Verdana" w:eastAsia="Times New Roman" w:hAnsi="Verdana" w:cs="Times New Roman"/>
                <w:b/>
                <w:bCs/>
                <w:sz w:val="20"/>
                <w:szCs w:val="20"/>
                <w:lang w:eastAsia="fr-CA"/>
              </w:rPr>
              <w:t>6 pieds</w:t>
            </w:r>
            <w:r w:rsidRPr="00B507F7">
              <w:rPr>
                <w:rFonts w:ascii="Verdana" w:eastAsia="Times New Roman" w:hAnsi="Verdana" w:cs="Times New Roman"/>
                <w:sz w:val="20"/>
                <w:szCs w:val="20"/>
                <w:lang w:eastAsia="fr-CA"/>
              </w:rPr>
              <w:t xml:space="preserve"> </w:t>
            </w:r>
            <w:proofErr w:type="gramStart"/>
            <w:r w:rsidRPr="00B507F7">
              <w:rPr>
                <w:rFonts w:ascii="Verdana" w:eastAsia="Times New Roman" w:hAnsi="Verdana" w:cs="Times New Roman"/>
                <w:sz w:val="20"/>
                <w:szCs w:val="20"/>
                <w:lang w:eastAsia="fr-CA"/>
              </w:rPr>
              <w:t>( 1m83</w:t>
            </w:r>
            <w:proofErr w:type="gramEnd"/>
            <w:r w:rsidRPr="00B507F7">
              <w:rPr>
                <w:rFonts w:ascii="Verdana" w:eastAsia="Times New Roman" w:hAnsi="Verdana" w:cs="Times New Roman"/>
                <w:sz w:val="20"/>
                <w:szCs w:val="20"/>
                <w:lang w:eastAsia="fr-CA"/>
              </w:rPr>
              <w:t>). Pourtant il suffit pour eux de regarder un document officiel (permis de conduire par exemple) pour connaître leur taille en mètre et centimètres.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De même qu'ils connaissent leur </w:t>
            </w:r>
            <w:r w:rsidRPr="00B507F7">
              <w:rPr>
                <w:rFonts w:ascii="Verdana" w:eastAsia="Times New Roman" w:hAnsi="Verdana" w:cs="Times New Roman"/>
                <w:b/>
                <w:bCs/>
                <w:sz w:val="20"/>
                <w:szCs w:val="20"/>
                <w:lang w:eastAsia="fr-CA"/>
              </w:rPr>
              <w:t>poids</w:t>
            </w:r>
            <w:r w:rsidRPr="00B507F7">
              <w:rPr>
                <w:rFonts w:ascii="Verdana" w:eastAsia="Times New Roman" w:hAnsi="Verdana" w:cs="Times New Roman"/>
                <w:sz w:val="20"/>
                <w:szCs w:val="20"/>
                <w:lang w:eastAsia="fr-CA"/>
              </w:rPr>
              <w:t xml:space="preserve"> en </w:t>
            </w:r>
            <w:r w:rsidRPr="00B507F7">
              <w:rPr>
                <w:rFonts w:ascii="Verdana" w:eastAsia="Times New Roman" w:hAnsi="Verdana" w:cs="Times New Roman"/>
                <w:b/>
                <w:bCs/>
                <w:sz w:val="20"/>
                <w:szCs w:val="20"/>
                <w:lang w:eastAsia="fr-CA"/>
              </w:rPr>
              <w:t>livres</w:t>
            </w:r>
            <w:r w:rsidRPr="00B507F7">
              <w:rPr>
                <w:rFonts w:ascii="Verdana" w:eastAsia="Times New Roman" w:hAnsi="Verdana" w:cs="Times New Roman"/>
                <w:sz w:val="20"/>
                <w:szCs w:val="20"/>
                <w:lang w:eastAsia="fr-CA"/>
              </w:rPr>
              <w:t xml:space="preserve">, et plus rarement en </w:t>
            </w:r>
            <w:r w:rsidRPr="00B507F7">
              <w:rPr>
                <w:rFonts w:ascii="Verdana" w:eastAsia="Times New Roman" w:hAnsi="Verdana" w:cs="Times New Roman"/>
                <w:b/>
                <w:bCs/>
                <w:sz w:val="20"/>
                <w:szCs w:val="20"/>
                <w:lang w:eastAsia="fr-CA"/>
              </w:rPr>
              <w:t>Kilogrammes</w:t>
            </w:r>
            <w:r w:rsidRPr="00B507F7">
              <w:rPr>
                <w:rFonts w:ascii="Verdana" w:eastAsia="Times New Roman" w:hAnsi="Verdana" w:cs="Times New Roman"/>
                <w:sz w:val="20"/>
                <w:szCs w:val="20"/>
                <w:lang w:eastAsia="fr-CA"/>
              </w:rPr>
              <w:t xml:space="preserve">. Quand un bébé naît, on annonce aux parents et amis son poids en </w:t>
            </w:r>
            <w:r w:rsidRPr="00B507F7">
              <w:rPr>
                <w:rFonts w:ascii="Verdana" w:eastAsia="Times New Roman" w:hAnsi="Verdana" w:cs="Times New Roman"/>
                <w:b/>
                <w:bCs/>
                <w:sz w:val="20"/>
                <w:szCs w:val="20"/>
                <w:lang w:eastAsia="fr-CA"/>
              </w:rPr>
              <w:t>livres et onces</w:t>
            </w:r>
            <w:r w:rsidRPr="00B507F7">
              <w:rPr>
                <w:rFonts w:ascii="Verdana" w:eastAsia="Times New Roman" w:hAnsi="Verdana" w:cs="Times New Roman"/>
                <w:sz w:val="20"/>
                <w:szCs w:val="20"/>
                <w:lang w:eastAsia="fr-CA"/>
              </w:rPr>
              <w:t xml:space="preserve">, et sa taille en </w:t>
            </w:r>
            <w:r w:rsidRPr="00B507F7">
              <w:rPr>
                <w:rFonts w:ascii="Verdana" w:eastAsia="Times New Roman" w:hAnsi="Verdana" w:cs="Times New Roman"/>
                <w:b/>
                <w:bCs/>
                <w:sz w:val="20"/>
                <w:szCs w:val="20"/>
                <w:lang w:eastAsia="fr-CA"/>
              </w:rPr>
              <w:t>pieds et pouces</w:t>
            </w:r>
            <w:r w:rsidRPr="00B507F7">
              <w:rPr>
                <w:rFonts w:ascii="Verdana" w:eastAsia="Times New Roman" w:hAnsi="Verdana" w:cs="Times New Roman"/>
                <w:sz w:val="20"/>
                <w:szCs w:val="20"/>
                <w:lang w:eastAsia="fr-CA"/>
              </w:rPr>
              <w:t xml:space="preserve">, alors que l'hôpital ou la clinique communique ces informations en </w:t>
            </w:r>
            <w:r w:rsidRPr="00B507F7">
              <w:rPr>
                <w:rFonts w:ascii="Verdana" w:eastAsia="Times New Roman" w:hAnsi="Verdana" w:cs="Times New Roman"/>
                <w:b/>
                <w:bCs/>
                <w:sz w:val="20"/>
                <w:szCs w:val="20"/>
                <w:lang w:eastAsia="fr-CA"/>
              </w:rPr>
              <w:t>cm</w:t>
            </w:r>
            <w:r w:rsidRPr="00B507F7">
              <w:rPr>
                <w:rFonts w:ascii="Verdana" w:eastAsia="Times New Roman" w:hAnsi="Verdana" w:cs="Times New Roman"/>
                <w:sz w:val="20"/>
                <w:szCs w:val="20"/>
                <w:lang w:eastAsia="fr-CA"/>
              </w:rPr>
              <w:t xml:space="preserve"> et en </w:t>
            </w:r>
            <w:r w:rsidRPr="00B507F7">
              <w:rPr>
                <w:rFonts w:ascii="Verdana" w:eastAsia="Times New Roman" w:hAnsi="Verdana" w:cs="Times New Roman"/>
                <w:b/>
                <w:bCs/>
                <w:sz w:val="20"/>
                <w:szCs w:val="20"/>
                <w:lang w:eastAsia="fr-CA"/>
              </w:rPr>
              <w:t>(kilo</w:t>
            </w:r>
            <w:proofErr w:type="gramStart"/>
            <w:r w:rsidRPr="00B507F7">
              <w:rPr>
                <w:rFonts w:ascii="Verdana" w:eastAsia="Times New Roman" w:hAnsi="Verdana" w:cs="Times New Roman"/>
                <w:b/>
                <w:bCs/>
                <w:sz w:val="20"/>
                <w:szCs w:val="20"/>
                <w:lang w:eastAsia="fr-CA"/>
              </w:rPr>
              <w:t>)grammes</w:t>
            </w:r>
            <w:proofErr w:type="gramEnd"/>
            <w:r w:rsidRPr="00B507F7">
              <w:rPr>
                <w:rFonts w:ascii="Verdana" w:eastAsia="Times New Roman" w:hAnsi="Verdana" w:cs="Times New Roman"/>
                <w:b/>
                <w:bCs/>
                <w:sz w:val="20"/>
                <w:szCs w:val="20"/>
                <w:lang w:eastAsia="fr-CA"/>
              </w:rPr>
              <w:t>.</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Times New Roman" w:eastAsia="Times New Roman" w:hAnsi="Times New Roman" w:cs="Times New Roman"/>
                <w:sz w:val="24"/>
                <w:szCs w:val="24"/>
                <w:lang w:eastAsia="fr-CA"/>
              </w:rPr>
              <w:t> </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b/>
                <w:bCs/>
                <w:i/>
                <w:iCs/>
                <w:sz w:val="24"/>
                <w:szCs w:val="24"/>
                <w:lang w:eastAsia="fr-CA"/>
              </w:rPr>
              <w:t>A l'épicerie</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 xml:space="preserve">Les poids sur les emballages sont souvent indiqués dans plusieurs unités de mesures, mais certains formats sont encore alignés sur les anciennes mesures : un paquet de beurre fait 454 g, soit </w:t>
            </w:r>
            <w:r w:rsidRPr="00B507F7">
              <w:rPr>
                <w:rFonts w:ascii="Verdana" w:eastAsia="Times New Roman" w:hAnsi="Verdana" w:cs="Times New Roman"/>
                <w:b/>
                <w:bCs/>
                <w:sz w:val="20"/>
                <w:szCs w:val="20"/>
                <w:lang w:eastAsia="fr-CA"/>
              </w:rPr>
              <w:t>1 livre</w:t>
            </w:r>
            <w:r w:rsidRPr="00B507F7">
              <w:rPr>
                <w:rFonts w:ascii="Verdana" w:eastAsia="Times New Roman" w:hAnsi="Verdana" w:cs="Times New Roman"/>
                <w:sz w:val="20"/>
                <w:szCs w:val="20"/>
                <w:lang w:eastAsia="fr-CA"/>
              </w:rPr>
              <w:t xml:space="preserve"> ! Et le pot de margarine fait 908 g (2 livres). sur les dépliants publicitaires, le prix au poids est à la livre, ça fait moins cher qu'au Kg, alors que sur les emballages, c'est en $/Kg.</w:t>
            </w:r>
          </w:p>
          <w:p w:rsidR="00AB0F00" w:rsidRPr="00B507F7"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Verdana" w:eastAsia="Times New Roman" w:hAnsi="Verdana" w:cs="Times New Roman"/>
                <w:sz w:val="20"/>
                <w:szCs w:val="20"/>
                <w:lang w:eastAsia="fr-CA"/>
              </w:rPr>
              <w:t>Sur les bouteilles de bière le volume est bien en millilitres, mais elles font 341 ml et non pas 330 ml comme en France, car 341 ml = 12 onces liquides (</w:t>
            </w:r>
            <w:proofErr w:type="spellStart"/>
            <w:r w:rsidRPr="00B507F7">
              <w:rPr>
                <w:rFonts w:ascii="Verdana" w:eastAsia="Times New Roman" w:hAnsi="Verdana" w:cs="Times New Roman"/>
                <w:sz w:val="20"/>
                <w:szCs w:val="20"/>
                <w:lang w:eastAsia="fr-CA"/>
              </w:rPr>
              <w:t>fl</w:t>
            </w:r>
            <w:proofErr w:type="spellEnd"/>
            <w:r w:rsidRPr="00B507F7">
              <w:rPr>
                <w:rFonts w:ascii="Verdana" w:eastAsia="Times New Roman" w:hAnsi="Verdana" w:cs="Times New Roman"/>
                <w:sz w:val="20"/>
                <w:szCs w:val="20"/>
                <w:lang w:eastAsia="fr-CA"/>
              </w:rPr>
              <w:t xml:space="preserve"> oz). Pour les bouteilles de vin, on calcule en litre, et pour les spiritueux (vodka, gin, ...), ce sont plutôt les </w:t>
            </w:r>
            <w:proofErr w:type="spellStart"/>
            <w:r w:rsidRPr="00B507F7">
              <w:rPr>
                <w:rFonts w:ascii="Verdana" w:eastAsia="Times New Roman" w:hAnsi="Verdana" w:cs="Times New Roman"/>
                <w:sz w:val="20"/>
                <w:szCs w:val="20"/>
                <w:lang w:eastAsia="fr-CA"/>
              </w:rPr>
              <w:t>fl</w:t>
            </w:r>
            <w:proofErr w:type="spellEnd"/>
            <w:r w:rsidRPr="00B507F7">
              <w:rPr>
                <w:rFonts w:ascii="Verdana" w:eastAsia="Times New Roman" w:hAnsi="Verdana" w:cs="Times New Roman"/>
                <w:sz w:val="20"/>
                <w:szCs w:val="20"/>
                <w:lang w:eastAsia="fr-CA"/>
              </w:rPr>
              <w:t xml:space="preserve"> oz.</w:t>
            </w:r>
          </w:p>
          <w:p w:rsidR="00AB0F00" w:rsidRDefault="00AB0F00" w:rsidP="00BE61D0">
            <w:pPr>
              <w:spacing w:before="135" w:after="90" w:line="240" w:lineRule="auto"/>
              <w:rPr>
                <w:rFonts w:ascii="Times New Roman" w:eastAsia="Times New Roman" w:hAnsi="Times New Roman" w:cs="Times New Roman"/>
                <w:sz w:val="24"/>
                <w:szCs w:val="24"/>
                <w:lang w:eastAsia="fr-CA"/>
              </w:rPr>
            </w:pPr>
            <w:r w:rsidRPr="00B507F7">
              <w:rPr>
                <w:rFonts w:ascii="Times New Roman" w:eastAsia="Times New Roman" w:hAnsi="Times New Roman" w:cs="Times New Roman"/>
                <w:sz w:val="24"/>
                <w:szCs w:val="24"/>
                <w:lang w:eastAsia="fr-CA"/>
              </w:rPr>
              <w:t> </w:t>
            </w:r>
          </w:p>
          <w:p w:rsidR="001D0F13" w:rsidRDefault="001D0F13" w:rsidP="00BE61D0">
            <w:pPr>
              <w:spacing w:before="135" w:after="90" w:line="240" w:lineRule="auto"/>
              <w:rPr>
                <w:rFonts w:ascii="Times New Roman" w:eastAsia="Times New Roman" w:hAnsi="Times New Roman" w:cs="Times New Roman"/>
                <w:sz w:val="24"/>
                <w:szCs w:val="24"/>
                <w:lang w:eastAsia="fr-CA"/>
              </w:rPr>
            </w:pPr>
          </w:p>
          <w:p w:rsidR="001D0F13" w:rsidRDefault="001D0F13" w:rsidP="00BE61D0">
            <w:pPr>
              <w:spacing w:before="135" w:after="90" w:line="240" w:lineRule="auto"/>
              <w:rPr>
                <w:rFonts w:ascii="Times New Roman" w:eastAsia="Times New Roman" w:hAnsi="Times New Roman" w:cs="Times New Roman"/>
                <w:sz w:val="24"/>
                <w:szCs w:val="24"/>
                <w:lang w:eastAsia="fr-CA"/>
              </w:rPr>
            </w:pPr>
          </w:p>
          <w:p w:rsidR="001D0F13" w:rsidRDefault="001D0F13" w:rsidP="00BE61D0">
            <w:pPr>
              <w:spacing w:before="135" w:after="90" w:line="240" w:lineRule="auto"/>
              <w:rPr>
                <w:rFonts w:ascii="Times New Roman" w:eastAsia="Times New Roman" w:hAnsi="Times New Roman" w:cs="Times New Roman"/>
                <w:sz w:val="24"/>
                <w:szCs w:val="24"/>
                <w:lang w:eastAsia="fr-CA"/>
              </w:rPr>
            </w:pPr>
          </w:p>
          <w:p w:rsidR="001D0F13" w:rsidRPr="00B507F7" w:rsidRDefault="001D0F13" w:rsidP="00BE61D0">
            <w:pPr>
              <w:spacing w:before="135" w:after="90" w:line="240" w:lineRule="auto"/>
              <w:rPr>
                <w:rFonts w:ascii="Times New Roman" w:eastAsia="Times New Roman" w:hAnsi="Times New Roman" w:cs="Times New Roman"/>
                <w:sz w:val="24"/>
                <w:szCs w:val="24"/>
                <w:lang w:eastAsia="fr-CA"/>
              </w:rPr>
            </w:pPr>
            <w:bookmarkStart w:id="2" w:name="_GoBack"/>
            <w:bookmarkEnd w:id="2"/>
          </w:p>
        </w:tc>
      </w:tr>
    </w:tbl>
    <w:p w:rsidR="00AB0F00" w:rsidRDefault="00AB0F00" w:rsidP="00AB0F00">
      <w:pPr>
        <w:jc w:val="both"/>
      </w:pPr>
      <w:proofErr w:type="spellStart"/>
      <w:r w:rsidRPr="00241ECB">
        <w:lastRenderedPageBreak/>
        <w:t>Ref</w:t>
      </w:r>
      <w:proofErr w:type="spellEnd"/>
      <w:r w:rsidRPr="00241ECB">
        <w:t xml:space="preserve"> : </w:t>
      </w:r>
      <w:hyperlink r:id="rId7" w:history="1">
        <w:r w:rsidRPr="00241ECB">
          <w:rPr>
            <w:rStyle w:val="Lienhypertexte"/>
          </w:rPr>
          <w:t>http://www.fredak.com/dico/dicoquebec_mesures.htm</w:t>
        </w:r>
      </w:hyperlink>
    </w:p>
    <w:p w:rsidR="00AB0F00" w:rsidRDefault="00AB0F00" w:rsidP="00AB0F00">
      <w:pPr>
        <w:jc w:val="both"/>
      </w:pPr>
    </w:p>
    <w:p w:rsidR="000659B0" w:rsidRDefault="005B76F1" w:rsidP="00AB0F00">
      <w:pPr>
        <w:jc w:val="both"/>
      </w:pPr>
      <w:hyperlink r:id="rId8" w:history="1">
        <w:r w:rsidR="00AB0F00" w:rsidRPr="00CF0253">
          <w:rPr>
            <w:rStyle w:val="Lienhypertexte"/>
          </w:rPr>
          <w:t>http://ici.radio-canada.ca/emissions/l_epicerie/2010-2011/Reportage.asp?idDoc=131278</w:t>
        </w:r>
      </w:hyperlink>
      <w:bookmarkEnd w:id="0"/>
      <w:bookmarkEnd w:id="1"/>
    </w:p>
    <w:p w:rsidR="005B76F1" w:rsidRDefault="005B76F1">
      <w:pPr>
        <w:jc w:val="both"/>
      </w:pPr>
    </w:p>
    <w:sectPr w:rsidR="005B76F1" w:rsidSect="001D12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0F00"/>
    <w:rsid w:val="000659B0"/>
    <w:rsid w:val="001D0F13"/>
    <w:rsid w:val="002321A3"/>
    <w:rsid w:val="005B76F1"/>
    <w:rsid w:val="00AB0F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B0F00"/>
    <w:rPr>
      <w:color w:val="0000FF" w:themeColor="hyperlink"/>
      <w:u w:val="single"/>
    </w:rPr>
  </w:style>
  <w:style w:type="paragraph" w:styleId="Textedebulles">
    <w:name w:val="Balloon Text"/>
    <w:basedOn w:val="Normal"/>
    <w:link w:val="TextedebullesCar"/>
    <w:uiPriority w:val="99"/>
    <w:semiHidden/>
    <w:unhideWhenUsed/>
    <w:rsid w:val="00AB0F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F00"/>
    <w:rPr>
      <w:rFonts w:ascii="Tahoma" w:hAnsi="Tahoma" w:cs="Tahoma"/>
      <w:sz w:val="16"/>
      <w:szCs w:val="16"/>
    </w:rPr>
  </w:style>
  <w:style w:type="character" w:styleId="Lienhypertextesuivivisit">
    <w:name w:val="FollowedHyperlink"/>
    <w:basedOn w:val="Policepardfaut"/>
    <w:uiPriority w:val="99"/>
    <w:semiHidden/>
    <w:unhideWhenUsed/>
    <w:rsid w:val="002321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i.radio-canada.ca/emissions/l_epicerie/2010-2011/Reportage.asp?idDoc=131278" TargetMode="External"/><Relationship Id="rId3" Type="http://schemas.openxmlformats.org/officeDocument/2006/relationships/settings" Target="settings.xml"/><Relationship Id="rId7" Type="http://schemas.openxmlformats.org/officeDocument/2006/relationships/hyperlink" Target="http://www.fredak.com/dico/dicoquebec_mesure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edak.com/dicoquebec.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853</Words>
  <Characters>4695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Desranleau, Sylvie</cp:lastModifiedBy>
  <cp:revision>3</cp:revision>
  <dcterms:created xsi:type="dcterms:W3CDTF">2014-11-27T02:49:00Z</dcterms:created>
  <dcterms:modified xsi:type="dcterms:W3CDTF">2015-03-13T15:27:00Z</dcterms:modified>
</cp:coreProperties>
</file>