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C2" w:rsidRDefault="005339C2" w:rsidP="005339C2">
      <w:pPr>
        <w:widowControl w:val="0"/>
        <w:autoSpaceDE w:val="0"/>
        <w:autoSpaceDN w:val="0"/>
        <w:adjustRightInd w:val="0"/>
        <w:spacing w:after="0"/>
        <w:rPr>
          <w:rFonts w:ascii="Verdana" w:hAnsi="Verdana" w:cs="Verdana"/>
          <w:color w:val="A1221E"/>
          <w:sz w:val="38"/>
          <w:szCs w:val="38"/>
          <w:lang w:val="fr-FR"/>
        </w:rPr>
      </w:pPr>
      <w:r>
        <w:rPr>
          <w:rFonts w:ascii="Verdana" w:hAnsi="Verdana" w:cs="Verdana"/>
          <w:color w:val="A1221E"/>
          <w:sz w:val="38"/>
          <w:szCs w:val="38"/>
          <w:lang w:val="fr-FR"/>
        </w:rPr>
        <w:t>Tester la lisibilité des textes</w:t>
      </w:r>
    </w:p>
    <w:p w:rsidR="005339C2" w:rsidRDefault="005339C2" w:rsidP="005339C2">
      <w:pPr>
        <w:widowControl w:val="0"/>
        <w:autoSpaceDE w:val="0"/>
        <w:autoSpaceDN w:val="0"/>
        <w:adjustRightInd w:val="0"/>
        <w:spacing w:after="243"/>
        <w:rPr>
          <w:rFonts w:ascii="Verdana" w:hAnsi="Verdana" w:cs="Verdana"/>
          <w:color w:val="5E5344"/>
          <w:lang w:val="fr-FR"/>
        </w:rPr>
      </w:pPr>
      <w:r>
        <w:rPr>
          <w:rFonts w:ascii="Verdana" w:hAnsi="Verdana" w:cs="Verdana"/>
          <w:color w:val="5E5344"/>
          <w:lang w:val="fr-FR"/>
        </w:rPr>
        <w:t xml:space="preserve">Par Sébastien Billard, 21/09/2006 </w:t>
      </w:r>
      <w:hyperlink r:id="rId5" w:history="1">
        <w:r>
          <w:rPr>
            <w:rFonts w:ascii="Verdana" w:hAnsi="Verdana" w:cs="Verdana"/>
            <w:color w:val="5E5344"/>
            <w:lang w:val="fr-FR"/>
          </w:rPr>
          <w:t>Accessibilité et standards</w:t>
        </w:r>
      </w:hyperlink>
      <w:r>
        <w:rPr>
          <w:rFonts w:ascii="Verdana" w:hAnsi="Verdana" w:cs="Verdana"/>
          <w:color w:val="5E5344"/>
          <w:lang w:val="fr-FR"/>
        </w:rPr>
        <w:t xml:space="preserve"> </w:t>
      </w:r>
      <w:hyperlink r:id="rId6" w:history="1">
        <w:r>
          <w:rPr>
            <w:rFonts w:ascii="Verdana" w:hAnsi="Verdana" w:cs="Verdana"/>
            <w:color w:val="5E5344"/>
            <w:lang w:val="fr-FR"/>
          </w:rPr>
          <w:t>#287</w:t>
        </w:r>
      </w:hyperlink>
      <w:r>
        <w:rPr>
          <w:rFonts w:ascii="Verdana" w:hAnsi="Verdana" w:cs="Verdana"/>
          <w:color w:val="5E5344"/>
          <w:lang w:val="fr-FR"/>
        </w:rPr>
        <w:t xml:space="preserve"> </w:t>
      </w:r>
      <w:hyperlink r:id="rId7" w:history="1">
        <w:proofErr w:type="spellStart"/>
        <w:r>
          <w:rPr>
            <w:rFonts w:ascii="Verdana" w:hAnsi="Verdana" w:cs="Verdana"/>
            <w:color w:val="5E5344"/>
            <w:lang w:val="fr-FR"/>
          </w:rPr>
          <w:t>rss</w:t>
        </w:r>
        <w:proofErr w:type="spellEnd"/>
      </w:hyperlink>
    </w:p>
    <w:p w:rsidR="005339C2" w:rsidRDefault="005339C2" w:rsidP="005339C2">
      <w:pPr>
        <w:widowControl w:val="0"/>
        <w:autoSpaceDE w:val="0"/>
        <w:autoSpaceDN w:val="0"/>
        <w:adjustRightInd w:val="0"/>
        <w:spacing w:after="0"/>
        <w:rPr>
          <w:rFonts w:ascii="Verdana" w:hAnsi="Verdana" w:cs="Verdana"/>
          <w:color w:val="363636"/>
          <w:lang w:val="fr-FR"/>
        </w:rPr>
      </w:pPr>
    </w:p>
    <w:p w:rsidR="005339C2" w:rsidRPr="005339C2" w:rsidRDefault="005339C2" w:rsidP="005339C2">
      <w:pPr>
        <w:widowControl w:val="0"/>
        <w:autoSpaceDE w:val="0"/>
        <w:autoSpaceDN w:val="0"/>
        <w:adjustRightInd w:val="0"/>
        <w:spacing w:after="243"/>
        <w:rPr>
          <w:rFonts w:ascii="Verdana" w:hAnsi="Verdana" w:cs="Verdana"/>
          <w:color w:val="363636"/>
          <w:sz w:val="20"/>
          <w:szCs w:val="20"/>
          <w:lang w:val="fr-FR"/>
        </w:rPr>
      </w:pPr>
      <w:hyperlink r:id="rId8" w:history="1">
        <w:r w:rsidRPr="005339C2">
          <w:rPr>
            <w:rFonts w:ascii="Verdana" w:hAnsi="Verdana" w:cs="Verdana"/>
            <w:color w:val="A1221E"/>
            <w:sz w:val="20"/>
            <w:szCs w:val="20"/>
            <w:lang w:val="fr-FR"/>
          </w:rPr>
          <w:t xml:space="preserve">Les directives d'accessibilité </w:t>
        </w:r>
        <w:proofErr w:type="gramStart"/>
        <w:r w:rsidRPr="005339C2">
          <w:rPr>
            <w:rFonts w:ascii="Verdana" w:hAnsi="Verdana" w:cs="Verdana"/>
            <w:color w:val="A1221E"/>
            <w:sz w:val="20"/>
            <w:szCs w:val="20"/>
            <w:lang w:val="fr-FR"/>
          </w:rPr>
          <w:t>au contenus</w:t>
        </w:r>
        <w:proofErr w:type="gramEnd"/>
        <w:r w:rsidRPr="005339C2">
          <w:rPr>
            <w:rFonts w:ascii="Verdana" w:hAnsi="Verdana" w:cs="Verdana"/>
            <w:color w:val="A1221E"/>
            <w:sz w:val="20"/>
            <w:szCs w:val="20"/>
            <w:lang w:val="fr-FR"/>
          </w:rPr>
          <w:t xml:space="preserve"> web</w:t>
        </w:r>
      </w:hyperlink>
      <w:r w:rsidRPr="005339C2">
        <w:rPr>
          <w:rFonts w:ascii="Verdana" w:hAnsi="Verdana" w:cs="Verdana"/>
          <w:color w:val="363636"/>
          <w:sz w:val="20"/>
          <w:szCs w:val="20"/>
          <w:lang w:val="fr-FR"/>
        </w:rPr>
        <w:t xml:space="preserve"> au point de contrôle 14.1 recommandent d'</w:t>
      </w:r>
      <w:hyperlink r:id="rId9" w:history="1">
        <w:r w:rsidRPr="005339C2">
          <w:rPr>
            <w:rFonts w:ascii="Verdana" w:hAnsi="Verdana" w:cs="Verdana"/>
            <w:color w:val="A1221E"/>
            <w:sz w:val="20"/>
            <w:szCs w:val="20"/>
            <w:lang w:val="fr-FR"/>
          </w:rPr>
          <w:t>utiliser le langage le plus clair et le plus simple possible</w:t>
        </w:r>
      </w:hyperlink>
      <w:r w:rsidRPr="005339C2">
        <w:rPr>
          <w:rFonts w:ascii="Verdana" w:hAnsi="Verdana" w:cs="Verdana"/>
          <w:color w:val="363636"/>
          <w:sz w:val="20"/>
          <w:szCs w:val="20"/>
          <w:lang w:val="fr-FR"/>
        </w:rPr>
        <w:t>, tout en étant adapté au contenu du site.</w:t>
      </w:r>
    </w:p>
    <w:p w:rsidR="005339C2" w:rsidRPr="005339C2" w:rsidRDefault="005339C2" w:rsidP="005339C2">
      <w:pPr>
        <w:widowControl w:val="0"/>
        <w:autoSpaceDE w:val="0"/>
        <w:autoSpaceDN w:val="0"/>
        <w:adjustRightInd w:val="0"/>
        <w:spacing w:after="243"/>
        <w:rPr>
          <w:rFonts w:ascii="Verdana" w:hAnsi="Verdana" w:cs="Verdana"/>
          <w:color w:val="363636"/>
          <w:sz w:val="20"/>
          <w:szCs w:val="20"/>
          <w:lang w:val="fr-FR"/>
        </w:rPr>
      </w:pPr>
      <w:r w:rsidRPr="005339C2">
        <w:rPr>
          <w:rFonts w:ascii="Verdana" w:hAnsi="Verdana" w:cs="Verdana"/>
          <w:color w:val="363636"/>
          <w:sz w:val="20"/>
          <w:szCs w:val="20"/>
          <w:lang w:val="fr-FR"/>
        </w:rPr>
        <w:t>Mais juger objectivement la lisibilité d'un écrit n'est pas chose facile : ce qui est lisible pour une personne ne l'est pas forcément pour une autre. C'est pourquoi des méthodes algorithmiques ont été développées pour permettre d'estimer (grossièrement) la lisibilité d'un texte.</w:t>
      </w:r>
    </w:p>
    <w:p w:rsidR="005339C2" w:rsidRPr="005339C2" w:rsidRDefault="005339C2" w:rsidP="005339C2">
      <w:pPr>
        <w:widowControl w:val="0"/>
        <w:autoSpaceDE w:val="0"/>
        <w:autoSpaceDN w:val="0"/>
        <w:adjustRightInd w:val="0"/>
        <w:spacing w:after="243"/>
        <w:rPr>
          <w:rFonts w:ascii="Verdana" w:hAnsi="Verdana" w:cs="Verdana"/>
          <w:color w:val="363636"/>
          <w:sz w:val="20"/>
          <w:szCs w:val="20"/>
          <w:lang w:val="fr-FR"/>
        </w:rPr>
      </w:pPr>
      <w:r w:rsidRPr="005339C2">
        <w:rPr>
          <w:rFonts w:ascii="Verdana" w:hAnsi="Verdana" w:cs="Verdana"/>
          <w:color w:val="363636"/>
          <w:sz w:val="20"/>
          <w:szCs w:val="20"/>
          <w:lang w:val="fr-FR"/>
        </w:rPr>
        <w:t xml:space="preserve">L'indice </w:t>
      </w:r>
      <w:hyperlink r:id="rId10" w:history="1">
        <w:r w:rsidRPr="005339C2">
          <w:rPr>
            <w:rFonts w:ascii="Verdana" w:hAnsi="Verdana" w:cs="Verdana"/>
            <w:color w:val="A1221E"/>
            <w:sz w:val="20"/>
            <w:szCs w:val="20"/>
            <w:lang w:val="fr-FR"/>
          </w:rPr>
          <w:t xml:space="preserve">Gunning </w:t>
        </w:r>
        <w:proofErr w:type="spellStart"/>
        <w:r w:rsidRPr="005339C2">
          <w:rPr>
            <w:rFonts w:ascii="Verdana" w:hAnsi="Verdana" w:cs="Verdana"/>
            <w:color w:val="A1221E"/>
            <w:sz w:val="20"/>
            <w:szCs w:val="20"/>
            <w:lang w:val="fr-FR"/>
          </w:rPr>
          <w:t>Fog</w:t>
        </w:r>
        <w:proofErr w:type="spellEnd"/>
      </w:hyperlink>
      <w:r w:rsidRPr="005339C2">
        <w:rPr>
          <w:rFonts w:ascii="Verdana" w:hAnsi="Verdana" w:cs="Verdana"/>
          <w:color w:val="363636"/>
          <w:sz w:val="20"/>
          <w:szCs w:val="20"/>
          <w:lang w:val="fr-FR"/>
        </w:rPr>
        <w:t xml:space="preserve">, du nom de son inventeur Robert Gunning, est une des méthodes les plus connues : pour l'obtenir, Il suffit simplement d'additionner le pourcentage de mots de plus de trois syllabes et le nombre moyen de mots par phrase, puis de multiplier ce résultat par 0.4 (ou plus simplement d'utiliser un outil comme </w:t>
      </w:r>
      <w:hyperlink r:id="rId11" w:history="1">
        <w:proofErr w:type="spellStart"/>
        <w:r w:rsidRPr="005339C2">
          <w:rPr>
            <w:rFonts w:ascii="Verdana" w:hAnsi="Verdana" w:cs="Verdana"/>
            <w:color w:val="A1221E"/>
            <w:sz w:val="20"/>
            <w:szCs w:val="20"/>
            <w:lang w:val="fr-FR"/>
          </w:rPr>
          <w:t>Textalyzer</w:t>
        </w:r>
        <w:proofErr w:type="spellEnd"/>
      </w:hyperlink>
      <w:r w:rsidRPr="005339C2">
        <w:rPr>
          <w:rFonts w:ascii="Verdana" w:hAnsi="Verdana" w:cs="Verdana"/>
          <w:color w:val="363636"/>
          <w:sz w:val="20"/>
          <w:szCs w:val="20"/>
          <w:lang w:val="fr-FR"/>
        </w:rPr>
        <w:t>). L'indice obtenu est censé correspondre au nombre nécessaire d'années de scolarité pour lire le texte. Un indice élevé sera donc le signe d'un texte plus difficile d'accès.</w:t>
      </w:r>
    </w:p>
    <w:p w:rsidR="005339C2" w:rsidRPr="005339C2" w:rsidRDefault="005339C2" w:rsidP="005339C2">
      <w:pPr>
        <w:widowControl w:val="0"/>
        <w:autoSpaceDE w:val="0"/>
        <w:autoSpaceDN w:val="0"/>
        <w:adjustRightInd w:val="0"/>
        <w:spacing w:after="243"/>
        <w:rPr>
          <w:rFonts w:ascii="Verdana" w:hAnsi="Verdana" w:cs="Verdana"/>
          <w:color w:val="363636"/>
          <w:sz w:val="20"/>
          <w:szCs w:val="20"/>
          <w:lang w:val="fr-FR"/>
        </w:rPr>
      </w:pPr>
      <w:r w:rsidRPr="005339C2">
        <w:rPr>
          <w:rFonts w:ascii="Verdana" w:hAnsi="Verdana" w:cs="Verdana"/>
          <w:color w:val="363636"/>
          <w:sz w:val="20"/>
          <w:szCs w:val="20"/>
          <w:lang w:val="fr-FR"/>
        </w:rPr>
        <w:t xml:space="preserve">Mais plus que la valeur absolue de l'indice, c'est la valeur relative de cet indice qui est intéressante. Voici donc les résultats d'une étude (inspirée de celle de </w:t>
      </w:r>
      <w:hyperlink r:id="rId12" w:history="1">
        <w:r w:rsidRPr="005339C2">
          <w:rPr>
            <w:rFonts w:ascii="Verdana" w:hAnsi="Verdana" w:cs="Verdana"/>
            <w:color w:val="A1221E"/>
            <w:sz w:val="20"/>
            <w:szCs w:val="20"/>
            <w:lang w:val="fr-FR"/>
          </w:rPr>
          <w:t xml:space="preserve">Philip </w:t>
        </w:r>
        <w:proofErr w:type="spellStart"/>
        <w:r w:rsidRPr="005339C2">
          <w:rPr>
            <w:rFonts w:ascii="Verdana" w:hAnsi="Verdana" w:cs="Verdana"/>
            <w:color w:val="A1221E"/>
            <w:sz w:val="20"/>
            <w:szCs w:val="20"/>
            <w:lang w:val="fr-FR"/>
          </w:rPr>
          <w:t>Chalmers</w:t>
        </w:r>
        <w:proofErr w:type="spellEnd"/>
      </w:hyperlink>
      <w:r w:rsidRPr="005339C2">
        <w:rPr>
          <w:rFonts w:ascii="Verdana" w:hAnsi="Verdana" w:cs="Verdana"/>
          <w:color w:val="363636"/>
          <w:sz w:val="20"/>
          <w:szCs w:val="20"/>
          <w:lang w:val="fr-FR"/>
        </w:rPr>
        <w:t xml:space="preserve">) montrant les indices Gunning </w:t>
      </w:r>
      <w:proofErr w:type="spellStart"/>
      <w:r w:rsidRPr="005339C2">
        <w:rPr>
          <w:rFonts w:ascii="Verdana" w:hAnsi="Verdana" w:cs="Verdana"/>
          <w:color w:val="363636"/>
          <w:sz w:val="20"/>
          <w:szCs w:val="20"/>
          <w:lang w:val="fr-FR"/>
        </w:rPr>
        <w:t>Fog</w:t>
      </w:r>
      <w:proofErr w:type="spellEnd"/>
      <w:r w:rsidRPr="005339C2">
        <w:rPr>
          <w:rFonts w:ascii="Verdana" w:hAnsi="Verdana" w:cs="Verdana"/>
          <w:color w:val="363636"/>
          <w:sz w:val="20"/>
          <w:szCs w:val="20"/>
          <w:lang w:val="fr-FR"/>
        </w:rPr>
        <w:t xml:space="preserve"> pour différents types d'écrits francophones :</w:t>
      </w:r>
    </w:p>
    <w:tbl>
      <w:tblPr>
        <w:tblW w:w="0" w:type="auto"/>
        <w:tblBorders>
          <w:top w:val="nil"/>
          <w:left w:val="nil"/>
          <w:right w:val="nil"/>
        </w:tblBorders>
        <w:tblLayout w:type="fixed"/>
        <w:tblLook w:val="0000" w:firstRow="0" w:lastRow="0" w:firstColumn="0" w:lastColumn="0" w:noHBand="0" w:noVBand="0"/>
      </w:tblPr>
      <w:tblGrid>
        <w:gridCol w:w="1720"/>
        <w:gridCol w:w="5820"/>
      </w:tblGrid>
      <w:tr w:rsidR="005339C2" w:rsidRPr="005339C2">
        <w:tblPrEx>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b/>
                <w:bCs/>
                <w:color w:val="363636"/>
                <w:sz w:val="20"/>
                <w:szCs w:val="20"/>
                <w:lang w:val="fr-FR"/>
              </w:rPr>
            </w:pPr>
            <w:r w:rsidRPr="005339C2">
              <w:rPr>
                <w:rFonts w:ascii="Verdana" w:hAnsi="Verdana" w:cs="Verdana"/>
                <w:b/>
                <w:bCs/>
                <w:color w:val="363636"/>
                <w:sz w:val="20"/>
                <w:szCs w:val="20"/>
                <w:lang w:val="fr-FR"/>
              </w:rPr>
              <w:t xml:space="preserve">Gunning </w:t>
            </w:r>
            <w:proofErr w:type="spellStart"/>
            <w:r w:rsidRPr="005339C2">
              <w:rPr>
                <w:rFonts w:ascii="Verdana" w:hAnsi="Verdana" w:cs="Verdana"/>
                <w:b/>
                <w:bCs/>
                <w:color w:val="363636"/>
                <w:sz w:val="20"/>
                <w:szCs w:val="20"/>
                <w:lang w:val="fr-FR"/>
              </w:rPr>
              <w:t>Fog</w:t>
            </w:r>
            <w:proofErr w:type="spellEnd"/>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b/>
                <w:bCs/>
                <w:color w:val="363636"/>
                <w:sz w:val="20"/>
                <w:szCs w:val="20"/>
                <w:lang w:val="fr-FR"/>
              </w:rPr>
            </w:pPr>
            <w:r w:rsidRPr="005339C2">
              <w:rPr>
                <w:rFonts w:ascii="Verdana" w:hAnsi="Verdana" w:cs="Verdana"/>
                <w:b/>
                <w:bCs/>
                <w:color w:val="363636"/>
                <w:sz w:val="20"/>
                <w:szCs w:val="20"/>
                <w:lang w:val="fr-FR"/>
              </w:rPr>
              <w:t>Type d'écrit</w:t>
            </w:r>
          </w:p>
        </w:tc>
      </w:tr>
      <w:tr w:rsidR="005339C2" w:rsidRPr="005339C2">
        <w:tblPrEx>
          <w:tblBorders>
            <w:top w:val="none" w:sz="0" w:space="0" w:color="auto"/>
          </w:tblBorders>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8-9</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Littérature junior et ado, Paris Match, Elle</w:t>
            </w:r>
          </w:p>
        </w:tc>
      </w:tr>
      <w:tr w:rsidR="005339C2" w:rsidRPr="005339C2">
        <w:tblPrEx>
          <w:tblBorders>
            <w:top w:val="none" w:sz="0" w:space="0" w:color="auto"/>
          </w:tblBorders>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10-11</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Télérama, Libération</w:t>
            </w:r>
          </w:p>
        </w:tc>
      </w:tr>
      <w:tr w:rsidR="005339C2" w:rsidRPr="005339C2">
        <w:tblPrEx>
          <w:tblBorders>
            <w:top w:val="none" w:sz="0" w:space="0" w:color="auto"/>
          </w:tblBorders>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14-15</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Marcel Proust, Le Monde Diplomatique, L'Express</w:t>
            </w:r>
          </w:p>
        </w:tc>
      </w:tr>
      <w:tr w:rsidR="005339C2" w:rsidRPr="005339C2">
        <w:tblPrEx>
          <w:tblBorders>
            <w:top w:val="none" w:sz="0" w:space="0" w:color="auto"/>
          </w:tblBorders>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16-17</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Rapports parlementaires</w:t>
            </w:r>
          </w:p>
        </w:tc>
      </w:tr>
      <w:tr w:rsidR="005339C2" w:rsidRPr="005339C2">
        <w:tblPrEx>
          <w:tblBorders>
            <w:top w:val="none" w:sz="0" w:space="0" w:color="auto"/>
          </w:tblBorders>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17-18</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 xml:space="preserve">Article universitaire d'Olivier </w:t>
            </w:r>
            <w:proofErr w:type="spellStart"/>
            <w:r w:rsidRPr="005339C2">
              <w:rPr>
                <w:rFonts w:ascii="Verdana" w:hAnsi="Verdana" w:cs="Verdana"/>
                <w:color w:val="363636"/>
                <w:sz w:val="20"/>
                <w:szCs w:val="20"/>
                <w:lang w:val="fr-FR"/>
              </w:rPr>
              <w:t>Ertzscheid</w:t>
            </w:r>
            <w:proofErr w:type="spellEnd"/>
          </w:p>
        </w:tc>
      </w:tr>
      <w:tr w:rsidR="005339C2" w:rsidRPr="005339C2">
        <w:tblPrEx>
          <w:tblCellMar>
            <w:top w:w="0" w:type="dxa"/>
            <w:bottom w:w="0" w:type="dxa"/>
          </w:tblCellMar>
        </w:tblPrEx>
        <w:tc>
          <w:tcPr>
            <w:tcW w:w="17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22 et plus</w:t>
            </w:r>
          </w:p>
        </w:tc>
        <w:tc>
          <w:tcPr>
            <w:tcW w:w="5820" w:type="dxa"/>
            <w:tcMar>
              <w:top w:w="20" w:type="nil"/>
              <w:left w:w="20" w:type="nil"/>
              <w:bottom w:w="20" w:type="nil"/>
              <w:right w:w="20" w:type="nil"/>
            </w:tcMar>
            <w:vAlign w:val="center"/>
          </w:tcPr>
          <w:p w:rsidR="005339C2" w:rsidRPr="005339C2" w:rsidRDefault="005339C2">
            <w:pPr>
              <w:widowControl w:val="0"/>
              <w:autoSpaceDE w:val="0"/>
              <w:autoSpaceDN w:val="0"/>
              <w:adjustRightInd w:val="0"/>
              <w:spacing w:after="0"/>
              <w:rPr>
                <w:rFonts w:ascii="Verdana" w:hAnsi="Verdana" w:cs="Verdana"/>
                <w:color w:val="363636"/>
                <w:sz w:val="20"/>
                <w:szCs w:val="20"/>
                <w:lang w:val="fr-FR"/>
              </w:rPr>
            </w:pPr>
            <w:r w:rsidRPr="005339C2">
              <w:rPr>
                <w:rFonts w:ascii="Verdana" w:hAnsi="Verdana" w:cs="Verdana"/>
                <w:color w:val="363636"/>
                <w:sz w:val="20"/>
                <w:szCs w:val="20"/>
                <w:lang w:val="fr-FR"/>
              </w:rPr>
              <w:t>Directives européennes</w:t>
            </w:r>
          </w:p>
        </w:tc>
      </w:tr>
    </w:tbl>
    <w:p w:rsidR="005339C2" w:rsidRPr="005339C2" w:rsidRDefault="005339C2" w:rsidP="005339C2">
      <w:pPr>
        <w:widowControl w:val="0"/>
        <w:autoSpaceDE w:val="0"/>
        <w:autoSpaceDN w:val="0"/>
        <w:adjustRightInd w:val="0"/>
        <w:spacing w:after="243"/>
        <w:rPr>
          <w:rFonts w:ascii="Verdana" w:hAnsi="Verdana" w:cs="Verdana"/>
          <w:color w:val="363636"/>
          <w:sz w:val="20"/>
          <w:szCs w:val="20"/>
          <w:lang w:val="fr-FR"/>
        </w:rPr>
      </w:pPr>
      <w:r w:rsidRPr="005339C2">
        <w:rPr>
          <w:rFonts w:ascii="Verdana" w:hAnsi="Verdana" w:cs="Verdana"/>
          <w:color w:val="363636"/>
          <w:sz w:val="20"/>
          <w:szCs w:val="20"/>
          <w:lang w:val="fr-FR"/>
        </w:rPr>
        <w:t>L'indice moyen des articles de ce blog tourne autour de 11 (10.5 pour ce billet), un indice comparable à ceux de magazines comme Télérama ou Libération, des lectures accessibles au plus grand nombre. Je considère que cet valeur est satisfaisante : il ne s'agit pas de produire un texte le plus simple possible (et donc avec un indice faible), mais de produire le texte le plus efficace possible en fonction de son auditoire, en éliminant les complications superflues. Et vous, quel est votre indice ?</w:t>
      </w:r>
    </w:p>
    <w:p w:rsidR="00795937" w:rsidRDefault="005339C2" w:rsidP="005339C2">
      <w:pPr>
        <w:rPr>
          <w:rFonts w:ascii="Verdana" w:hAnsi="Verdana" w:cs="Verdana"/>
          <w:color w:val="363636"/>
          <w:sz w:val="20"/>
          <w:szCs w:val="20"/>
          <w:lang w:val="fr-FR"/>
        </w:rPr>
      </w:pPr>
      <w:r w:rsidRPr="005339C2">
        <w:rPr>
          <w:rFonts w:ascii="Verdana" w:hAnsi="Verdana" w:cs="Verdana"/>
          <w:color w:val="363636"/>
          <w:sz w:val="20"/>
          <w:szCs w:val="20"/>
          <w:lang w:val="fr-FR"/>
        </w:rPr>
        <w:t xml:space="preserve">Note méthodologique : J'ai utilisé pour établir ces indices des échantillons de texte d'au minimum 100 mots (250 en général), </w:t>
      </w:r>
      <w:proofErr w:type="spellStart"/>
      <w:r w:rsidRPr="005339C2">
        <w:rPr>
          <w:rFonts w:ascii="Verdana" w:hAnsi="Verdana" w:cs="Verdana"/>
          <w:color w:val="363636"/>
          <w:sz w:val="20"/>
          <w:szCs w:val="20"/>
          <w:lang w:val="fr-FR"/>
        </w:rPr>
        <w:t>débarassés</w:t>
      </w:r>
      <w:proofErr w:type="spellEnd"/>
      <w:r w:rsidRPr="005339C2">
        <w:rPr>
          <w:rFonts w:ascii="Verdana" w:hAnsi="Verdana" w:cs="Verdana"/>
          <w:color w:val="363636"/>
          <w:sz w:val="20"/>
          <w:szCs w:val="20"/>
          <w:lang w:val="fr-FR"/>
        </w:rPr>
        <w:t xml:space="preserve"> des titres et de tout ce qui pouvait "polluer" les résultats : liens de navigation, légendes, notes etc. Pour les textes courts, une moyenne a été faite sur environ 7 articles choisis aléatoirement. Pour les textes longs, comme Proust (Du coté de chez Swann), la moyenne a été faite sur 7 passages aléatoires. C'est très empirique je l'avoue, et je laisse le soin au </w:t>
      </w:r>
      <w:hyperlink r:id="rId13" w:history="1">
        <w:r w:rsidRPr="005339C2">
          <w:rPr>
            <w:rFonts w:ascii="Verdana" w:hAnsi="Verdana" w:cs="Verdana"/>
            <w:color w:val="A1221E"/>
            <w:sz w:val="20"/>
            <w:szCs w:val="20"/>
            <w:lang w:val="fr-FR"/>
          </w:rPr>
          <w:t xml:space="preserve">professeur </w:t>
        </w:r>
        <w:proofErr w:type="spellStart"/>
        <w:r w:rsidRPr="005339C2">
          <w:rPr>
            <w:rFonts w:ascii="Verdana" w:hAnsi="Verdana" w:cs="Verdana"/>
            <w:color w:val="A1221E"/>
            <w:sz w:val="20"/>
            <w:szCs w:val="20"/>
            <w:lang w:val="fr-FR"/>
          </w:rPr>
          <w:t>Veronis</w:t>
        </w:r>
        <w:proofErr w:type="spellEnd"/>
      </w:hyperlink>
      <w:r w:rsidRPr="005339C2">
        <w:rPr>
          <w:rFonts w:ascii="Verdana" w:hAnsi="Verdana" w:cs="Verdana"/>
          <w:color w:val="363636"/>
          <w:sz w:val="20"/>
          <w:szCs w:val="20"/>
          <w:lang w:val="fr-FR"/>
        </w:rPr>
        <w:t xml:space="preserve"> de me corriger ou d'ajouter tout précision qui lui semblerait utile ;)</w:t>
      </w:r>
    </w:p>
    <w:p w:rsidR="005339C2" w:rsidRDefault="005339C2" w:rsidP="005339C2">
      <w:pPr>
        <w:rPr>
          <w:sz w:val="20"/>
          <w:szCs w:val="20"/>
        </w:rPr>
      </w:pPr>
      <w:hyperlink r:id="rId14" w:history="1">
        <w:r w:rsidRPr="002C4300">
          <w:rPr>
            <w:rStyle w:val="Lienhypertexte"/>
            <w:sz w:val="20"/>
            <w:szCs w:val="20"/>
          </w:rPr>
          <w:t>http://s.billard.free.fr/referencement/?2006/09/21/287-tester-la-lisibilite-des-textes</w:t>
        </w:r>
      </w:hyperlink>
    </w:p>
    <w:p w:rsidR="005339C2" w:rsidRPr="005339C2" w:rsidRDefault="005339C2" w:rsidP="005339C2">
      <w:pPr>
        <w:rPr>
          <w:sz w:val="20"/>
          <w:szCs w:val="20"/>
        </w:rPr>
      </w:pPr>
      <w:bookmarkStart w:id="0" w:name="_GoBack"/>
      <w:bookmarkEnd w:id="0"/>
    </w:p>
    <w:sectPr w:rsidR="005339C2" w:rsidRPr="005339C2" w:rsidSect="0025116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C2"/>
    <w:rsid w:val="00231761"/>
    <w:rsid w:val="0025116D"/>
    <w:rsid w:val="005339C2"/>
    <w:rsid w:val="00640B5A"/>
    <w:rsid w:val="006651C3"/>
    <w:rsid w:val="00795937"/>
    <w:rsid w:val="007E2F16"/>
    <w:rsid w:val="009F2A4D"/>
    <w:rsid w:val="00BC546E"/>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39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33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xtalyser.net/" TargetMode="External"/><Relationship Id="rId12" Type="http://schemas.openxmlformats.org/officeDocument/2006/relationships/hyperlink" Target="http://www.benefit-from-it.com/index.php?fa=wdu101writingForWeb.writingStyle" TargetMode="External"/><Relationship Id="rId13" Type="http://schemas.openxmlformats.org/officeDocument/2006/relationships/hyperlink" Target="http://aixtal.blogspot.com/" TargetMode="External"/><Relationship Id="rId14" Type="http://schemas.openxmlformats.org/officeDocument/2006/relationships/hyperlink" Target="http://s.billard.free.fr/referencement/?2006/09/21/287-tester-la-lisibilite-des-text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llard.free.fr/referencement/?Accessibilite-et-standards" TargetMode="External"/><Relationship Id="rId6" Type="http://schemas.openxmlformats.org/officeDocument/2006/relationships/hyperlink" Target="http://s.billard.free.fr/referencement/?2006/09/21/287-tester-la-lisibilite-des-textes" TargetMode="External"/><Relationship Id="rId7" Type="http://schemas.openxmlformats.org/officeDocument/2006/relationships/hyperlink" Target="http://s.billard.free.fr/referencement/rss.php?type=co&amp;post=287" TargetMode="External"/><Relationship Id="rId8" Type="http://schemas.openxmlformats.org/officeDocument/2006/relationships/hyperlink" Target="http://www.la-grange.net/w3c/wcag1/wai-pageauth.html" TargetMode="External"/><Relationship Id="rId9" Type="http://schemas.openxmlformats.org/officeDocument/2006/relationships/hyperlink" Target="http://www.la-grange.net/w3c/wcag1/wai-pageauth.html#gl-facilitate-comprehension" TargetMode="External"/><Relationship Id="rId10" Type="http://schemas.openxmlformats.org/officeDocument/2006/relationships/hyperlink" Target="http://en.wikipedia.org/wiki/Gunning-Fog_Inde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3021</Characters>
  <Application>Microsoft Macintosh Word</Application>
  <DocSecurity>0</DocSecurity>
  <Lines>25</Lines>
  <Paragraphs>7</Paragraphs>
  <ScaleCrop>false</ScaleCrop>
  <Company>CSMV</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1</cp:revision>
  <dcterms:created xsi:type="dcterms:W3CDTF">2014-02-09T17:43:00Z</dcterms:created>
  <dcterms:modified xsi:type="dcterms:W3CDTF">2014-02-09T17:43:00Z</dcterms:modified>
</cp:coreProperties>
</file>