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87E0" w14:textId="6658BCDF" w:rsidR="006A7A38" w:rsidRDefault="006A7A38" w:rsidP="00B02BF6">
      <w:pPr>
        <w:spacing w:after="480"/>
        <w:jc w:val="center"/>
        <w:rPr>
          <w:rFonts w:ascii="Lucida Calligraphy" w:hAnsi="Lucida Calligraphy"/>
          <w:sz w:val="32"/>
          <w:szCs w:val="72"/>
        </w:rPr>
      </w:pPr>
      <w:bookmarkStart w:id="0" w:name="_GoBack"/>
      <w:bookmarkEnd w:id="0"/>
      <w:r>
        <w:rPr>
          <w:rFonts w:ascii="Lucida Calligraphy" w:hAnsi="Lucida Calligraphy"/>
          <w:sz w:val="52"/>
          <w:szCs w:val="200"/>
        </w:rPr>
        <w:t xml:space="preserve">Le </w:t>
      </w:r>
      <w:r w:rsidRPr="006A7A38">
        <w:rPr>
          <w:rFonts w:ascii="Lucida Calligraphy" w:hAnsi="Lucida Calligraphy"/>
          <w:sz w:val="52"/>
          <w:szCs w:val="200"/>
        </w:rPr>
        <w:t>Brésil</w:t>
      </w:r>
      <w:r w:rsidRPr="006A7A38">
        <w:rPr>
          <w:rFonts w:ascii="Lucida Calligraphy" w:hAnsi="Lucida Calligraphy"/>
          <w:sz w:val="52"/>
          <w:szCs w:val="200"/>
        </w:rPr>
        <w:br/>
      </w:r>
      <w:r>
        <w:rPr>
          <w:rFonts w:ascii="Lucida Calligraphy" w:hAnsi="Lucida Calligraphy"/>
          <w:sz w:val="32"/>
          <w:szCs w:val="72"/>
        </w:rPr>
        <w:t>Le j</w:t>
      </w:r>
      <w:r w:rsidRPr="006A7A38">
        <w:rPr>
          <w:rFonts w:ascii="Lucida Calligraphy" w:hAnsi="Lucida Calligraphy"/>
          <w:sz w:val="32"/>
          <w:szCs w:val="72"/>
        </w:rPr>
        <w:t>oyau de l’Amérique</w:t>
      </w:r>
      <w:r>
        <w:rPr>
          <w:rFonts w:ascii="Lucida Calligraphy" w:hAnsi="Lucida Calligraphy"/>
          <w:sz w:val="32"/>
          <w:szCs w:val="72"/>
        </w:rPr>
        <w:t xml:space="preserve"> </w:t>
      </w:r>
      <w:r w:rsidRPr="006A7A38">
        <w:rPr>
          <w:rFonts w:ascii="Lucida Calligraphy" w:hAnsi="Lucida Calligraphy"/>
          <w:sz w:val="32"/>
          <w:szCs w:val="72"/>
        </w:rPr>
        <w:t>du Sud</w:t>
      </w:r>
    </w:p>
    <w:p w14:paraId="491A8E91" w14:textId="77777777" w:rsidR="00D4549F" w:rsidRDefault="00D4549F" w:rsidP="00B02BF6">
      <w:pPr>
        <w:spacing w:before="360" w:after="240"/>
        <w:rPr>
          <w:rFonts w:ascii="Arial Rounded MT Bold" w:hAnsi="Arial Rounded MT Bold"/>
          <w:bCs/>
          <w:sz w:val="36"/>
          <w:szCs w:val="36"/>
        </w:rPr>
      </w:pPr>
      <w:r w:rsidRPr="002D116E">
        <w:rPr>
          <w:rFonts w:ascii="Arial Rounded MT Bold" w:hAnsi="Arial Rounded MT Bold"/>
          <w:bCs/>
          <w:sz w:val="36"/>
          <w:szCs w:val="36"/>
        </w:rPr>
        <w:t>Géographie</w:t>
      </w:r>
    </w:p>
    <w:p w14:paraId="1ADC23A0" w14:textId="77777777" w:rsidR="00D4549F" w:rsidRDefault="00D4549F" w:rsidP="00E658B2">
      <w:pPr>
        <w:spacing w:after="240" w:line="276" w:lineRule="auto"/>
        <w:ind w:firstLine="709"/>
      </w:pPr>
      <w:r w:rsidRPr="00B02BF6">
        <w:t>Le Brésil occupe presque la moitié du continent entier de l’Amérique du Sud, et il est le cinquième plus grand pays du monde. Il encadre tous les pays latino-américains excepté le Chili et l’Équateur.</w:t>
      </w:r>
    </w:p>
    <w:p w14:paraId="0A4F6787" w14:textId="77777777" w:rsidR="00D4549F" w:rsidRDefault="00D4549F" w:rsidP="00E658B2">
      <w:pPr>
        <w:spacing w:after="240" w:line="276" w:lineRule="auto"/>
        <w:ind w:firstLine="709"/>
      </w:pPr>
      <w:r>
        <w:t xml:space="preserve">Le </w:t>
      </w:r>
      <w:r w:rsidR="0056486D">
        <w:t>littoral de 9 </w:t>
      </w:r>
      <w:r w:rsidR="00495321">
        <w:t>170 km et les 50 </w:t>
      </w:r>
      <w:r>
        <w:t>000 km de voies navigables fournissent un grand potentiel pas encore développé pour le transport de l’eau. Sur le plan topographique, le Brésil est relativement plat. La majeure partie des terres arables se trouvent dans le Sud, mais le processus de développement des terrains agricoles s’amorce aussi bien dans l’Ouest Central que dans le Nord. Le climat est principalement</w:t>
      </w:r>
      <w:r w:rsidR="00F06848">
        <w:t xml:space="preserve"> </w:t>
      </w:r>
      <w:r>
        <w:t xml:space="preserve">tropical et sous tropical; il est particulièrement humide et pluvieux dans la région de l’Amazonie ainsi que le long de la côte. Le climat tempéré se trouve dans le sud et sur les terres plus hautes. La nation ne souffre pas de tremblements de terre, d’ouragans ni de cyclones, mais des pluies </w:t>
      </w:r>
      <w:proofErr w:type="gramStart"/>
      <w:r>
        <w:t>torrentielles</w:t>
      </w:r>
      <w:proofErr w:type="gramEnd"/>
      <w:r>
        <w:t>, la sécheresse et le givre causent parfois des dommages considérables.</w:t>
      </w:r>
    </w:p>
    <w:p w14:paraId="23435493" w14:textId="77777777" w:rsidR="00D4549F" w:rsidRDefault="00D4549F" w:rsidP="00B02BF6">
      <w:pPr>
        <w:spacing w:before="360" w:after="240"/>
        <w:rPr>
          <w:rFonts w:ascii="Arial Rounded MT Bold" w:hAnsi="Arial Rounded MT Bold"/>
          <w:bCs/>
          <w:sz w:val="36"/>
          <w:szCs w:val="36"/>
        </w:rPr>
      </w:pPr>
      <w:r w:rsidRPr="0078076D">
        <w:rPr>
          <w:rFonts w:ascii="Arial Rounded MT Bold" w:hAnsi="Arial Rounded MT Bold"/>
          <w:bCs/>
          <w:sz w:val="36"/>
          <w:szCs w:val="36"/>
        </w:rPr>
        <w:t>Démographie et population</w:t>
      </w:r>
    </w:p>
    <w:p w14:paraId="69105D86" w14:textId="77777777" w:rsidR="00D4549F" w:rsidRDefault="00D4549F" w:rsidP="00E658B2">
      <w:pPr>
        <w:spacing w:after="240" w:line="276" w:lineRule="auto"/>
        <w:ind w:firstLine="709"/>
      </w:pPr>
      <w:r w:rsidRPr="00CA56E8">
        <w:t xml:space="preserve">La population </w:t>
      </w:r>
      <w:r>
        <w:t>frise les 155 millions et augmente d’environ 2</w:t>
      </w:r>
      <w:r w:rsidR="00EA09BA">
        <w:t> </w:t>
      </w:r>
      <w:r>
        <w:t xml:space="preserve">% par année. Elle est concentrée dans les états du Minas Gerais, de Sao Paulo, et de </w:t>
      </w:r>
      <w:proofErr w:type="spellStart"/>
      <w:r>
        <w:t>Parana</w:t>
      </w:r>
      <w:proofErr w:type="spellEnd"/>
      <w:r>
        <w:t>. Presque 60</w:t>
      </w:r>
      <w:r w:rsidR="00EA09BA">
        <w:t> </w:t>
      </w:r>
      <w:r>
        <w:t>% de la population</w:t>
      </w:r>
      <w:r w:rsidR="00F06848">
        <w:t xml:space="preserve"> </w:t>
      </w:r>
      <w:r>
        <w:t>totale vit sur 20</w:t>
      </w:r>
      <w:r w:rsidR="00EA09BA">
        <w:t> </w:t>
      </w:r>
      <w:r>
        <w:t>% des terres. 80</w:t>
      </w:r>
      <w:r w:rsidR="00EA09BA">
        <w:t> </w:t>
      </w:r>
      <w:r>
        <w:t>% de la population est urbaine et 20</w:t>
      </w:r>
      <w:r w:rsidR="00EA09BA">
        <w:t> </w:t>
      </w:r>
      <w:r>
        <w:t>% rurale. 55</w:t>
      </w:r>
      <w:r w:rsidR="00EA09BA">
        <w:t> </w:t>
      </w:r>
      <w:r>
        <w:t>% ont moins de 20 ans et moins de 10</w:t>
      </w:r>
      <w:r w:rsidR="00EA09BA">
        <w:t> </w:t>
      </w:r>
      <w:r>
        <w:t>% plus de 60 ans. L'espérance moyenne de vie est de 63 ans.</w:t>
      </w:r>
    </w:p>
    <w:p w14:paraId="33E0BA84" w14:textId="77777777" w:rsidR="00D4549F" w:rsidRDefault="00D4549F" w:rsidP="00E658B2">
      <w:pPr>
        <w:spacing w:after="240" w:line="276" w:lineRule="auto"/>
        <w:ind w:firstLine="709"/>
      </w:pPr>
      <w:r>
        <w:t>La majorité des Brésiliens sont de descendance européenne ou africaine. Sans compter les colons</w:t>
      </w:r>
      <w:r w:rsidR="00F06848">
        <w:t xml:space="preserve"> </w:t>
      </w:r>
      <w:r>
        <w:t>d'origine portugaise, d'autres groupes ethniques significatifs incluent des Africains, des Allemands, des Italiens, et des Japonais. La langue officielle est le portugais, mais l'anglais est largement répandu dans le milieu des affaires. La religion prédominante est le catholicisme romain. Il y a liberté religieuse, et la religion n'est pas une source de malaise social.</w:t>
      </w:r>
    </w:p>
    <w:p w14:paraId="4F6035D1" w14:textId="77777777" w:rsidR="00D4549F" w:rsidRDefault="00D4549F" w:rsidP="00E658B2">
      <w:pPr>
        <w:spacing w:after="240" w:line="276" w:lineRule="auto"/>
        <w:ind w:firstLine="709"/>
      </w:pPr>
      <w:r>
        <w:t>Le niveau de l'éducation générale a besoin d'être grandement amélioré. On</w:t>
      </w:r>
      <w:r w:rsidR="00F06848">
        <w:t xml:space="preserve"> </w:t>
      </w:r>
      <w:r>
        <w:t>considère qu'environ 75</w:t>
      </w:r>
      <w:r w:rsidR="00EA09BA">
        <w:t> </w:t>
      </w:r>
      <w:r>
        <w:t>% des enfants de plus de dix ans ont besoin d'être instruits. Environ 5</w:t>
      </w:r>
      <w:r w:rsidR="00EA09BA">
        <w:t> </w:t>
      </w:r>
      <w:r>
        <w:t>% des étudiants inscrits pour</w:t>
      </w:r>
      <w:r w:rsidR="00E658B2">
        <w:t>suivent des études supérieures.</w:t>
      </w:r>
    </w:p>
    <w:p w14:paraId="38FD60ED" w14:textId="77777777" w:rsidR="00D4549F" w:rsidRDefault="0078076D" w:rsidP="00B02BF6">
      <w:pPr>
        <w:spacing w:before="360" w:after="240"/>
        <w:rPr>
          <w:rFonts w:ascii="Arial Rounded MT Bold" w:hAnsi="Arial Rounded MT Bold"/>
          <w:bCs/>
          <w:sz w:val="36"/>
          <w:szCs w:val="36"/>
        </w:rPr>
      </w:pPr>
      <w:r w:rsidRPr="0078076D">
        <w:rPr>
          <w:rFonts w:ascii="Arial Rounded MT Bold" w:hAnsi="Arial Rounded MT Bold"/>
          <w:bCs/>
          <w:sz w:val="36"/>
          <w:szCs w:val="36"/>
        </w:rPr>
        <w:lastRenderedPageBreak/>
        <w:t>Ressources</w:t>
      </w:r>
    </w:p>
    <w:p w14:paraId="6B7C414E" w14:textId="77777777" w:rsidR="00D4549F" w:rsidRDefault="00D4549F" w:rsidP="00E658B2">
      <w:pPr>
        <w:spacing w:after="240" w:line="276" w:lineRule="auto"/>
        <w:ind w:firstLine="709"/>
      </w:pPr>
      <w:r>
        <w:t>Le Brésil est riche en ressources naturelles. Il possède certains des plus grands gisements de minerai de fer du monde et est actuellement un des plus grands producteurs d'or. D'autres métaux et minerais sont également extraits à un rythme croissant. Le système fluvial étendu</w:t>
      </w:r>
      <w:r w:rsidR="00F06848">
        <w:t xml:space="preserve"> </w:t>
      </w:r>
      <w:r>
        <w:t>fournit un grand potentiel hydroélectrique, comme en témoigne le projet du barrage d'Itaipu. Depuis la crise pétrolière des années 70, le Brésil s'est engagé</w:t>
      </w:r>
      <w:r w:rsidR="00F06848">
        <w:t xml:space="preserve"> </w:t>
      </w:r>
      <w:r>
        <w:t>dans le programme de Pro</w:t>
      </w:r>
      <w:r w:rsidR="002D116E">
        <w:t xml:space="preserve"> </w:t>
      </w:r>
      <w:r>
        <w:t>Alcool pour la fabrication de carburant à base d'alcool à partir de la canne à sucre dans le but de réduire la dépendance du pays par rapport au pétrole étranger.</w:t>
      </w:r>
    </w:p>
    <w:p w14:paraId="18E24C0B" w14:textId="77777777" w:rsidR="00D4549F" w:rsidRDefault="00D4549F" w:rsidP="00E658B2">
      <w:pPr>
        <w:spacing w:after="240" w:line="276" w:lineRule="auto"/>
        <w:ind w:firstLine="709"/>
      </w:pPr>
      <w:r>
        <w:t>Dans le domaine de l'agriculture, le Brésil est le principal exportateur de soja et de jus d'orange en plus du café et du cacao traditionnels. Le potentiel de pêche le long du littoral est significatif mais n'a pas encore été entièrement exploité. Le paysage</w:t>
      </w:r>
      <w:r w:rsidR="00F06848">
        <w:t xml:space="preserve"> </w:t>
      </w:r>
      <w:r>
        <w:t>naturel et le climat favorable stimulent également une industrie du tourisme prospère</w:t>
      </w:r>
      <w:r w:rsidR="000E1BF6">
        <w:t>.</w:t>
      </w:r>
    </w:p>
    <w:sectPr w:rsidR="00D4549F" w:rsidSect="00F85953">
      <w:footnotePr>
        <w:numFmt w:val="lowerLetter"/>
      </w:footnotePr>
      <w:pgSz w:w="12240" w:h="15840" w:code="1"/>
      <w:pgMar w:top="1418" w:right="1814" w:bottom="1418" w:left="1814"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268A0" w14:textId="77777777" w:rsidR="00C61FA8" w:rsidRDefault="00C61FA8">
      <w:r>
        <w:separator/>
      </w:r>
    </w:p>
  </w:endnote>
  <w:endnote w:type="continuationSeparator" w:id="0">
    <w:p w14:paraId="5BC9A624" w14:textId="77777777" w:rsidR="00C61FA8" w:rsidRDefault="00C6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FC5A3" w14:textId="77777777" w:rsidR="00C61FA8" w:rsidRDefault="00C61FA8">
      <w:r>
        <w:separator/>
      </w:r>
    </w:p>
  </w:footnote>
  <w:footnote w:type="continuationSeparator" w:id="0">
    <w:p w14:paraId="1548DCF5" w14:textId="77777777" w:rsidR="00C61FA8" w:rsidRDefault="00C6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81E02"/>
    <w:multiLevelType w:val="hybridMultilevel"/>
    <w:tmpl w:val="DF66EC32"/>
    <w:lvl w:ilvl="0" w:tplc="80F4A1EE">
      <w:start w:val="1"/>
      <w:numFmt w:val="bullet"/>
      <w:lvlText w:val=""/>
      <w:lvlJc w:val="left"/>
      <w:pPr>
        <w:tabs>
          <w:tab w:val="num" w:pos="1080"/>
        </w:tabs>
        <w:ind w:left="1080" w:hanging="360"/>
      </w:pPr>
      <w:rPr>
        <w:rFonts w:ascii="Wingdings" w:hAnsi="Wingdings" w:hint="default"/>
        <w:color w:val="auto"/>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0"/>
        </w:tabs>
        <w:ind w:left="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1440"/>
        </w:tabs>
        <w:ind w:left="1440" w:hanging="360"/>
      </w:pPr>
      <w:rPr>
        <w:rFonts w:ascii="Courier New" w:hAnsi="Courier New" w:cs="Courier New" w:hint="default"/>
      </w:rPr>
    </w:lvl>
    <w:lvl w:ilvl="8" w:tplc="04090005" w:tentative="1">
      <w:start w:val="1"/>
      <w:numFmt w:val="bullet"/>
      <w:lvlText w:val=""/>
      <w:lvlJc w:val="left"/>
      <w:pPr>
        <w:tabs>
          <w:tab w:val="num" w:pos="2160"/>
        </w:tabs>
        <w:ind w:left="2160" w:hanging="360"/>
      </w:pPr>
      <w:rPr>
        <w:rFonts w:ascii="Wingdings" w:hAnsi="Wingdings" w:hint="default"/>
      </w:rPr>
    </w:lvl>
  </w:abstractNum>
  <w:abstractNum w:abstractNumId="1"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9F"/>
    <w:rsid w:val="000D61DD"/>
    <w:rsid w:val="000E1BF6"/>
    <w:rsid w:val="000F6AE2"/>
    <w:rsid w:val="001A2D9D"/>
    <w:rsid w:val="002251D7"/>
    <w:rsid w:val="0023461A"/>
    <w:rsid w:val="002B5BD2"/>
    <w:rsid w:val="002D116E"/>
    <w:rsid w:val="002E11FB"/>
    <w:rsid w:val="002E37D2"/>
    <w:rsid w:val="003010F7"/>
    <w:rsid w:val="003D312D"/>
    <w:rsid w:val="003D3CB4"/>
    <w:rsid w:val="003F1ECA"/>
    <w:rsid w:val="00495321"/>
    <w:rsid w:val="004B311F"/>
    <w:rsid w:val="004C5CCB"/>
    <w:rsid w:val="0050552C"/>
    <w:rsid w:val="005279B8"/>
    <w:rsid w:val="0056486D"/>
    <w:rsid w:val="005B19B6"/>
    <w:rsid w:val="005C5381"/>
    <w:rsid w:val="00677157"/>
    <w:rsid w:val="006A7A38"/>
    <w:rsid w:val="006B3B5D"/>
    <w:rsid w:val="007103CB"/>
    <w:rsid w:val="007162BD"/>
    <w:rsid w:val="0078076D"/>
    <w:rsid w:val="0078177D"/>
    <w:rsid w:val="007E02E7"/>
    <w:rsid w:val="00801F82"/>
    <w:rsid w:val="008D6CDC"/>
    <w:rsid w:val="009065A4"/>
    <w:rsid w:val="00932BC9"/>
    <w:rsid w:val="0093491F"/>
    <w:rsid w:val="00A01C3D"/>
    <w:rsid w:val="00A030B1"/>
    <w:rsid w:val="00A30CE0"/>
    <w:rsid w:val="00AA33FB"/>
    <w:rsid w:val="00AC630C"/>
    <w:rsid w:val="00AC7BFE"/>
    <w:rsid w:val="00B02BF6"/>
    <w:rsid w:val="00B57C7D"/>
    <w:rsid w:val="00B816C6"/>
    <w:rsid w:val="00BE5E83"/>
    <w:rsid w:val="00C163EC"/>
    <w:rsid w:val="00C2021C"/>
    <w:rsid w:val="00C61FA8"/>
    <w:rsid w:val="00C656CD"/>
    <w:rsid w:val="00C9013D"/>
    <w:rsid w:val="00C95F80"/>
    <w:rsid w:val="00CA56E8"/>
    <w:rsid w:val="00CA6D07"/>
    <w:rsid w:val="00D4549F"/>
    <w:rsid w:val="00DB0A19"/>
    <w:rsid w:val="00E025C0"/>
    <w:rsid w:val="00E658B2"/>
    <w:rsid w:val="00EA09BA"/>
    <w:rsid w:val="00EE6268"/>
    <w:rsid w:val="00EF2ABB"/>
    <w:rsid w:val="00F06848"/>
    <w:rsid w:val="00F422D9"/>
    <w:rsid w:val="00F73652"/>
    <w:rsid w:val="00F85953"/>
    <w:rsid w:val="00FF4E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0A4F6"/>
  <w15:docId w15:val="{503D0F4B-BC31-42E7-B7C0-88601378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qFormat/>
    <w:pPr>
      <w:spacing w:before="100" w:beforeAutospacing="1"/>
      <w:outlineLvl w:val="0"/>
    </w:pPr>
    <w:rPr>
      <w:rFonts w:ascii="Verdana" w:hAnsi="Verdana"/>
      <w:b/>
      <w:bCs/>
      <w:kern w:val="3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 principal"/>
    <w:basedOn w:val="Normal"/>
    <w:pPr>
      <w:spacing w:after="240"/>
      <w:jc w:val="center"/>
    </w:pPr>
    <w:rPr>
      <w:rFonts w:ascii="Arial" w:hAnsi="Arial" w:cs="Arial"/>
      <w:b/>
      <w:sz w:val="48"/>
      <w:szCs w:val="48"/>
      <w:lang w:eastAsia="fr-FR"/>
    </w:rPr>
  </w:style>
  <w:style w:type="paragraph" w:customStyle="1" w:styleId="Titresection">
    <w:name w:val="Titre section"/>
    <w:basedOn w:val="Normal"/>
    <w:pPr>
      <w:spacing w:before="240" w:after="120"/>
    </w:pPr>
    <w:rPr>
      <w:rFonts w:ascii="Arial" w:hAnsi="Arial" w:cs="Arial"/>
      <w:b/>
      <w:sz w:val="28"/>
      <w:szCs w:val="28"/>
      <w:lang w:eastAsia="fr-FR"/>
    </w:rPr>
  </w:style>
  <w:style w:type="paragraph" w:styleId="NormalWeb">
    <w:name w:val="Normal (Web)"/>
    <w:basedOn w:val="Normal"/>
    <w:pPr>
      <w:spacing w:after="100" w:afterAutospacing="1"/>
    </w:pPr>
    <w:rPr>
      <w:rFonts w:ascii="Verdana" w:hAnsi="Verdana"/>
      <w:sz w:val="20"/>
      <w:szCs w:val="20"/>
    </w:rPr>
  </w:style>
  <w:style w:type="paragraph" w:customStyle="1" w:styleId="writtenby">
    <w:name w:val="writtenby"/>
    <w:basedOn w:val="Normal"/>
    <w:pPr>
      <w:spacing w:after="100" w:afterAutospacing="1"/>
      <w:jc w:val="center"/>
    </w:pPr>
    <w:rPr>
      <w:rFonts w:ascii="Verdana" w:hAnsi="Verdana"/>
      <w:b/>
      <w:bCs/>
      <w:sz w:val="20"/>
      <w:szCs w:val="20"/>
    </w:rPr>
  </w:style>
  <w:style w:type="character" w:styleId="Accentuation">
    <w:name w:val="Emphasis"/>
    <w:basedOn w:val="Policepardfaut"/>
    <w:qFormat/>
    <w:rPr>
      <w:i/>
      <w:iCs/>
    </w:rPr>
  </w:style>
  <w:style w:type="character" w:customStyle="1" w:styleId="essay1">
    <w:name w:val="essay1"/>
    <w:basedOn w:val="Policepardfaut"/>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basedOn w:val="Normal"/>
    <w:semiHidden/>
    <w:pPr>
      <w:spacing w:line="300" w:lineRule="exact"/>
    </w:pPr>
    <w:rPr>
      <w:sz w:val="20"/>
      <w:szCs w:val="20"/>
      <w:lang w:val="en-CA" w:eastAsia="en-US"/>
    </w:rPr>
  </w:style>
  <w:style w:type="character" w:styleId="Appelnotedebasdep">
    <w:name w:val="footnote reference"/>
    <w:basedOn w:val="Policepardfaut"/>
    <w:semiHidden/>
    <w:rPr>
      <w:vertAlign w:val="superscript"/>
    </w:r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Textedebulles">
    <w:name w:val="Balloon Text"/>
    <w:basedOn w:val="Normal"/>
    <w:semiHidden/>
    <w:rsid w:val="00D4549F"/>
    <w:rPr>
      <w:rFonts w:ascii="Tahoma" w:hAnsi="Tahoma" w:cs="Tahoma"/>
      <w:sz w:val="16"/>
      <w:szCs w:val="16"/>
    </w:rPr>
  </w:style>
  <w:style w:type="character" w:customStyle="1" w:styleId="PieddepageCar">
    <w:name w:val="Pied de page Car"/>
    <w:basedOn w:val="Policepardfaut"/>
    <w:link w:val="Pieddepage"/>
    <w:uiPriority w:val="99"/>
    <w:rsid w:val="007E02E7"/>
    <w:rPr>
      <w:sz w:val="24"/>
      <w:szCs w:val="24"/>
    </w:rPr>
  </w:style>
  <w:style w:type="character" w:customStyle="1" w:styleId="En-tteCar">
    <w:name w:val="En-tête Car"/>
    <w:basedOn w:val="Policepardfaut"/>
    <w:link w:val="En-tte"/>
    <w:uiPriority w:val="99"/>
    <w:rsid w:val="007E02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478</Words>
  <Characters>2634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Le Brésil, joyau de l'Amérique du Sud</vt:lpstr>
      <vt:lpstr>Le Brésil, joyau de l'Amérique du Sud</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Brésil, joyau de l'Amérique du Sud</dc:title>
  <dc:creator>Julie Vézina</dc:creator>
  <cp:lastModifiedBy>Julie Vezina</cp:lastModifiedBy>
  <cp:revision>8</cp:revision>
  <dcterms:created xsi:type="dcterms:W3CDTF">2012-04-23T18:17:00Z</dcterms:created>
  <dcterms:modified xsi:type="dcterms:W3CDTF">2019-10-29T12:23:00Z</dcterms:modified>
</cp:coreProperties>
</file>