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BA" w:rsidRPr="001137BA" w:rsidRDefault="0075431B" w:rsidP="00EC66A2">
      <w:pPr>
        <w:pStyle w:val="Titreprincipal"/>
      </w:pPr>
      <w:bookmarkStart w:id="0" w:name="_Toc427932982"/>
      <w:bookmarkStart w:id="1" w:name="_Hlk507141009"/>
      <w:bookmarkStart w:id="2" w:name="_Toc369699042"/>
      <w:bookmarkStart w:id="3" w:name="_Toc369699866"/>
      <w:bookmarkStart w:id="4" w:name="_Toc427932462"/>
      <w:bookmarkStart w:id="5" w:name="_Toc427932991"/>
      <w:r>
        <w:t>Réviser : une étape essenti</w:t>
      </w:r>
      <w:bookmarkStart w:id="6" w:name="_GoBack"/>
      <w:bookmarkEnd w:id="6"/>
      <w:r>
        <w:t>elle</w:t>
      </w:r>
      <w:bookmarkEnd w:id="0"/>
    </w:p>
    <w:bookmarkEnd w:id="1"/>
    <w:p w:rsidR="001137BA" w:rsidRPr="001137BA" w:rsidRDefault="001137BA" w:rsidP="00EC66A2">
      <w:pPr>
        <w:pStyle w:val="Paragraphes"/>
      </w:pPr>
      <w:r>
        <w:t>I</w:t>
      </w:r>
      <w:r w:rsidRPr="001137BA">
        <w:t xml:space="preserve">l </w:t>
      </w:r>
      <w:r w:rsidR="00CB5C26">
        <w:t>e</w:t>
      </w:r>
      <w:r>
        <w:t>st</w:t>
      </w:r>
      <w:r w:rsidRPr="001137BA">
        <w:t xml:space="preserve"> nécessaire de faire une révision générale et finale de chacune de vos lettres afin de vous assurer, entre autres, que la mise en page est appropriée, que la disposition des différents éléments est conforme aux règles épistolaires, et qu’il n’y a pas de fautes orthographiques ou grammaticales. Vous pouvez facilement vérifier les fautes d’orthographe et de grammaire à l’aide d’outils tels que la correction automatique de Word ou le logiciel de correction Antidote.</w:t>
      </w:r>
    </w:p>
    <w:p w:rsidR="001137BA" w:rsidRPr="001137BA" w:rsidRDefault="001137BA" w:rsidP="00EC66A2">
      <w:pPr>
        <w:pStyle w:val="Paragraphes"/>
      </w:pPr>
      <w:r w:rsidRPr="001137BA">
        <w:t xml:space="preserve">Cependant, ces logiciels ne vous permettent pas d’identifier les erreurs relatives à la typographie, à la ponctuation, au vocabulaire et aux abréviations. Dans cet </w:t>
      </w:r>
      <w:r w:rsidR="0075431B">
        <w:t>article</w:t>
      </w:r>
      <w:r w:rsidRPr="001137BA">
        <w:t>, nous aborderons quelques points essentiels à considérer lors de la relecture et de la révision de vos lettres. Pour obtenir davantage de précisions ou de plus amples explications, nous vous conseillons de consulter les ouvrages de référence habituels.</w:t>
      </w:r>
    </w:p>
    <w:p w:rsidR="001137BA" w:rsidRPr="001137BA" w:rsidRDefault="001137BA" w:rsidP="00EC66A2">
      <w:pPr>
        <w:pStyle w:val="Titreprincipal"/>
      </w:pPr>
      <w:bookmarkStart w:id="7" w:name="_Toc427932454"/>
      <w:bookmarkStart w:id="8" w:name="_Toc427932983"/>
      <w:r w:rsidRPr="001137BA">
        <w:t>Typographie</w:t>
      </w:r>
      <w:bookmarkEnd w:id="7"/>
      <w:bookmarkEnd w:id="8"/>
    </w:p>
    <w:p w:rsidR="001137BA" w:rsidRPr="001137BA" w:rsidRDefault="004D3719" w:rsidP="00EC66A2">
      <w:pPr>
        <w:pStyle w:val="Paragraphes"/>
      </w:pPr>
      <w:r>
        <w:t>Les trois aspects</w:t>
      </w:r>
      <w:r w:rsidR="001137BA" w:rsidRPr="001137BA">
        <w:t xml:space="preserve"> typographiques suivants</w:t>
      </w:r>
      <w:r>
        <w:t xml:space="preserve"> cause souvent des problèmes pour le réviseur</w:t>
      </w:r>
      <w:r w:rsidR="001137BA" w:rsidRPr="001137BA">
        <w:t> :</w:t>
      </w:r>
    </w:p>
    <w:p w:rsidR="001137BA" w:rsidRPr="001137BA" w:rsidRDefault="001137BA" w:rsidP="001137BA">
      <w:pPr>
        <w:numPr>
          <w:ilvl w:val="0"/>
          <w:numId w:val="1"/>
        </w:numPr>
        <w:spacing w:line="259" w:lineRule="auto"/>
        <w:ind w:left="935" w:hanging="357"/>
        <w:rPr>
          <w:rFonts w:eastAsia="Times New Roman" w:cs="Times New Roman"/>
          <w:szCs w:val="24"/>
        </w:rPr>
      </w:pPr>
      <w:proofErr w:type="gramStart"/>
      <w:r w:rsidRPr="001137BA">
        <w:rPr>
          <w:rFonts w:eastAsia="Times New Roman" w:cs="Times New Roman"/>
          <w:szCs w:val="24"/>
        </w:rPr>
        <w:t>l’espace</w:t>
      </w:r>
      <w:proofErr w:type="gramEnd"/>
      <w:r w:rsidRPr="001137BA">
        <w:rPr>
          <w:rFonts w:eastAsia="Times New Roman" w:cs="Times New Roman"/>
          <w:szCs w:val="24"/>
        </w:rPr>
        <w:t xml:space="preserve"> insécable et le trait d’union insécable;</w:t>
      </w:r>
    </w:p>
    <w:p w:rsidR="001137BA" w:rsidRPr="001137BA" w:rsidRDefault="001137BA" w:rsidP="001137BA">
      <w:pPr>
        <w:numPr>
          <w:ilvl w:val="0"/>
          <w:numId w:val="1"/>
        </w:numPr>
        <w:spacing w:line="259" w:lineRule="auto"/>
        <w:ind w:left="935" w:hanging="357"/>
        <w:rPr>
          <w:rFonts w:eastAsia="Times New Roman" w:cs="Times New Roman"/>
          <w:szCs w:val="24"/>
        </w:rPr>
      </w:pPr>
      <w:proofErr w:type="gramStart"/>
      <w:r w:rsidRPr="001137BA">
        <w:rPr>
          <w:rFonts w:eastAsia="Times New Roman" w:cs="Times New Roman"/>
          <w:szCs w:val="24"/>
        </w:rPr>
        <w:t>la</w:t>
      </w:r>
      <w:proofErr w:type="gramEnd"/>
      <w:r w:rsidRPr="001137BA">
        <w:rPr>
          <w:rFonts w:eastAsia="Times New Roman" w:cs="Times New Roman"/>
          <w:szCs w:val="24"/>
        </w:rPr>
        <w:t xml:space="preserve"> majuscule;</w:t>
      </w:r>
    </w:p>
    <w:p w:rsidR="001137BA" w:rsidRPr="001137BA" w:rsidRDefault="001137BA" w:rsidP="001137BA">
      <w:pPr>
        <w:numPr>
          <w:ilvl w:val="0"/>
          <w:numId w:val="1"/>
        </w:numPr>
        <w:spacing w:line="259" w:lineRule="auto"/>
        <w:ind w:left="935" w:hanging="357"/>
        <w:rPr>
          <w:rFonts w:eastAsia="Times New Roman" w:cs="Times New Roman"/>
          <w:szCs w:val="24"/>
        </w:rPr>
      </w:pPr>
      <w:proofErr w:type="gramStart"/>
      <w:r w:rsidRPr="001137BA">
        <w:rPr>
          <w:rFonts w:eastAsia="Times New Roman" w:cs="Times New Roman"/>
          <w:szCs w:val="24"/>
        </w:rPr>
        <w:t>la</w:t>
      </w:r>
      <w:proofErr w:type="gramEnd"/>
      <w:r w:rsidRPr="001137BA">
        <w:rPr>
          <w:rFonts w:eastAsia="Times New Roman" w:cs="Times New Roman"/>
          <w:szCs w:val="24"/>
        </w:rPr>
        <w:t xml:space="preserve"> coupure de mots.</w:t>
      </w:r>
    </w:p>
    <w:p w:rsidR="001137BA" w:rsidRPr="00485AED" w:rsidRDefault="001137BA" w:rsidP="00485AED">
      <w:pPr>
        <w:pStyle w:val="Sous-titre1"/>
      </w:pPr>
      <w:bookmarkStart w:id="9" w:name="_Toc427932455"/>
      <w:bookmarkStart w:id="10" w:name="_Toc427932984"/>
      <w:r w:rsidRPr="00485AED">
        <w:t>Espace insécable et trait d’union insécable</w:t>
      </w:r>
      <w:bookmarkEnd w:id="9"/>
      <w:bookmarkEnd w:id="10"/>
    </w:p>
    <w:p w:rsidR="001137BA" w:rsidRPr="001137BA" w:rsidRDefault="004D3719" w:rsidP="00EC66A2">
      <w:pPr>
        <w:pStyle w:val="Paragraphes"/>
      </w:pPr>
      <w:r>
        <w:t>L</w:t>
      </w:r>
      <w:r w:rsidR="001137BA" w:rsidRPr="001137BA">
        <w:t xml:space="preserve">’espace insécable et le trait d’union insécable </w:t>
      </w:r>
      <w:r>
        <w:t xml:space="preserve">sont utilisés </w:t>
      </w:r>
      <w:r w:rsidR="001137BA" w:rsidRPr="001137BA">
        <w:t>afin de garder sur une même ligne des mots, des mots composés ou encore des symboles qui ne peuvent être séparés.</w:t>
      </w:r>
    </w:p>
    <w:p w:rsidR="001137BA" w:rsidRPr="001137BA" w:rsidRDefault="001137BA" w:rsidP="00485AED">
      <w:pPr>
        <w:pStyle w:val="Sous-titre1"/>
      </w:pPr>
      <w:bookmarkStart w:id="11" w:name="_Toc427932456"/>
      <w:bookmarkStart w:id="12" w:name="_Toc427932985"/>
      <w:r w:rsidRPr="001137BA">
        <w:t>Majuscules</w:t>
      </w:r>
      <w:bookmarkEnd w:id="11"/>
      <w:bookmarkEnd w:id="12"/>
    </w:p>
    <w:p w:rsidR="001137BA" w:rsidRPr="001137BA" w:rsidRDefault="001137BA" w:rsidP="00EC66A2">
      <w:pPr>
        <w:pStyle w:val="Paragraphes"/>
      </w:pPr>
      <w:r w:rsidRPr="001137BA">
        <w:t>Vous savez sans nul doute que la majuscule est utilisée pour la première lettre d’une phrase ou d’un nom propre. Les lettres majuscules prennent également des accents (lorsque les lettres minuscules correspondantes les prennent aussi) sauf dans les sigles et les acronymes tels que REER ou ENAP même si le son [e] est prononcé. Ce sont là quelques règles de base.</w:t>
      </w:r>
    </w:p>
    <w:p w:rsidR="001137BA" w:rsidRPr="001137BA" w:rsidRDefault="001137BA" w:rsidP="00EC66A2">
      <w:pPr>
        <w:pStyle w:val="Paragraphes"/>
      </w:pPr>
      <w:r w:rsidRPr="001137BA">
        <w:t>Dans la correspondance d’affaires, vous devrez éviter certains emplois fautifs de la majuscule. En voici quelques exemples.</w:t>
      </w:r>
    </w:p>
    <w:p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t xml:space="preserve">Lorsque vous ne vous adressez pas directement à la personne, le titre de civilité ne prend pas de majuscule initiale. Exemple : </w:t>
      </w:r>
      <w:r w:rsidRPr="00485AED">
        <w:rPr>
          <w:rStyle w:val="Exemple"/>
        </w:rPr>
        <w:t>La conférence sera animée par madame Francine Dupuis.</w:t>
      </w:r>
      <w:r w:rsidRPr="004D3719">
        <w:rPr>
          <w:rFonts w:eastAsia="Times New Roman" w:cs="Times New Roman"/>
          <w:szCs w:val="24"/>
        </w:rPr>
        <w:t xml:space="preserve"> D’ailleurs, le titre de civilité est souvent abrégé et apparait dans le format suivant : Mme ou M</w:t>
      </w:r>
      <w:r w:rsidRPr="004D3719">
        <w:rPr>
          <w:rFonts w:eastAsia="Times New Roman" w:cs="Times New Roman"/>
          <w:szCs w:val="24"/>
          <w:vertAlign w:val="superscript"/>
        </w:rPr>
        <w:t>me</w:t>
      </w:r>
      <w:r w:rsidRPr="004D3719">
        <w:rPr>
          <w:rFonts w:eastAsia="Times New Roman" w:cs="Times New Roman"/>
          <w:szCs w:val="24"/>
        </w:rPr>
        <w:t xml:space="preserve"> Francine Dupuis.</w:t>
      </w:r>
    </w:p>
    <w:p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lastRenderedPageBreak/>
        <w:t>L’adjectif qui suit les appellations précitées ne prend pas de majuscule initiale alors que l’adjectif qui les précède est écrit avec la majuscule initiale. Nous dirons « Fédération québécoise des sports cyclistes », mais « le Grand Prix de Montréal ».</w:t>
      </w:r>
    </w:p>
    <w:p w:rsidR="001137BA" w:rsidRPr="004D3719" w:rsidRDefault="001137BA" w:rsidP="004D3719">
      <w:pPr>
        <w:pStyle w:val="Paragraphedeliste"/>
        <w:numPr>
          <w:ilvl w:val="0"/>
          <w:numId w:val="13"/>
        </w:numPr>
        <w:spacing w:after="40" w:line="259" w:lineRule="auto"/>
        <w:rPr>
          <w:rFonts w:eastAsia="Times New Roman" w:cs="Times New Roman"/>
          <w:szCs w:val="24"/>
        </w:rPr>
      </w:pPr>
      <w:r w:rsidRPr="004D3719">
        <w:rPr>
          <w:rFonts w:eastAsia="Times New Roman" w:cs="Times New Roman"/>
          <w:szCs w:val="24"/>
        </w:rPr>
        <w:t>Les jours de la semaine et les mois de l’année ne s’écrivent pas avec une majuscule initiale. Nous écrirons « lundi » et « mai ».</w:t>
      </w:r>
    </w:p>
    <w:p w:rsidR="001137BA" w:rsidRPr="001137BA" w:rsidRDefault="001137BA" w:rsidP="00485AED">
      <w:pPr>
        <w:pStyle w:val="Sous-titre1"/>
      </w:pPr>
      <w:bookmarkStart w:id="13" w:name="_Toc427932457"/>
      <w:bookmarkStart w:id="14" w:name="_Toc427932986"/>
      <w:r w:rsidRPr="001137BA">
        <w:t>Coupure de mots</w:t>
      </w:r>
      <w:bookmarkEnd w:id="13"/>
      <w:bookmarkEnd w:id="14"/>
    </w:p>
    <w:p w:rsidR="001137BA" w:rsidRPr="001137BA" w:rsidRDefault="004D3719" w:rsidP="00EC66A2">
      <w:pPr>
        <w:pStyle w:val="Paragraphes"/>
      </w:pPr>
      <w:r>
        <w:t>I</w:t>
      </w:r>
      <w:r w:rsidR="001137BA" w:rsidRPr="001137BA">
        <w:t xml:space="preserve">l est possible d’utiliser le logiciel Word pour effectuer la coupure de mots. Dans la correspondance d’affaires, vous devez éviter de couper un mot. Toutefois, dans certains cas, vous aurez à couper un mot manuellement afin d’harmoniser le texte du corps de la lettre, par exemple. C’est pourquoi il importe de bien connaitre les règles relatives à cette pratique. </w:t>
      </w:r>
    </w:p>
    <w:p w:rsidR="001137BA" w:rsidRPr="001137BA" w:rsidRDefault="001137BA" w:rsidP="00EC66A2">
      <w:pPr>
        <w:pStyle w:val="Titreprincipal"/>
      </w:pPr>
      <w:bookmarkStart w:id="15" w:name="_Toc427932458"/>
      <w:bookmarkStart w:id="16" w:name="_Toc427932987"/>
      <w:r w:rsidRPr="001137BA">
        <w:t>Ponctuation</w:t>
      </w:r>
      <w:bookmarkEnd w:id="15"/>
      <w:bookmarkEnd w:id="16"/>
    </w:p>
    <w:p w:rsidR="001137BA" w:rsidRPr="001137BA" w:rsidRDefault="001137BA" w:rsidP="00EC66A2">
      <w:pPr>
        <w:pStyle w:val="Paragraphes"/>
      </w:pPr>
      <w:r w:rsidRPr="001137BA">
        <w:t xml:space="preserve">Lorsque vous relisez votre lettre, vous devez vous attarder sur les signes de ponctuation. En effet, il est important de connaitre le nombre d’espaces à laisser avant et après les différents signes de ponctuation. </w:t>
      </w:r>
    </w:p>
    <w:p w:rsidR="001137BA" w:rsidRPr="004D3719" w:rsidRDefault="001137BA" w:rsidP="00485AED">
      <w:pPr>
        <w:pStyle w:val="Sous-titre1"/>
      </w:pPr>
      <w:r w:rsidRPr="004D3719">
        <w:t>Utiliser le tiret demi-cadratin</w:t>
      </w:r>
    </w:p>
    <w:p w:rsidR="001137BA" w:rsidRPr="001137BA" w:rsidRDefault="001137BA" w:rsidP="00EC66A2">
      <w:pPr>
        <w:pStyle w:val="Paragraphes"/>
      </w:pPr>
      <w:r w:rsidRPr="001137BA">
        <w:t>Le tiret demi-cadratin (–) est légèrement plus long que le trait d’union. On l’emploie pour différentes raisons, en particulier pour apporter une précision à une phrase ou à un bout de phrase. L’espace à insérer avant et après le tiret demi-cadratin varie selon l’usage qu’on en fait.</w:t>
      </w:r>
    </w:p>
    <w:p w:rsidR="001137BA" w:rsidRPr="001137BA" w:rsidRDefault="001137BA" w:rsidP="00EC66A2">
      <w:pPr>
        <w:pStyle w:val="Titreprincipal"/>
      </w:pPr>
      <w:bookmarkStart w:id="17" w:name="_Toc427932459"/>
      <w:bookmarkStart w:id="18" w:name="_Toc427932988"/>
      <w:bookmarkEnd w:id="2"/>
      <w:bookmarkEnd w:id="3"/>
      <w:r w:rsidRPr="001137BA">
        <w:t>Vocabulaire</w:t>
      </w:r>
      <w:bookmarkEnd w:id="17"/>
      <w:bookmarkEnd w:id="18"/>
    </w:p>
    <w:p w:rsidR="001137BA" w:rsidRPr="001137BA" w:rsidRDefault="001137BA" w:rsidP="00EC66A2">
      <w:pPr>
        <w:pStyle w:val="Paragraphes"/>
      </w:pPr>
      <w:r w:rsidRPr="001137BA">
        <w:t xml:space="preserve">Plusieurs aspects du vocabulaire doivent être pris en compte lors de la relecture et de la révision de votre lettre commerciale. </w:t>
      </w:r>
      <w:r w:rsidR="00B16116">
        <w:t>Ici</w:t>
      </w:r>
      <w:r w:rsidRPr="001137BA">
        <w:t>, nous aborderons les termes du vocabulaire à éviter ainsi que les règles se rapportant à l’écriture des chiffres dans une lettre.</w:t>
      </w:r>
    </w:p>
    <w:p w:rsidR="001137BA" w:rsidRPr="001137BA" w:rsidRDefault="001137BA" w:rsidP="00485AED">
      <w:pPr>
        <w:pStyle w:val="Sous-titre1"/>
      </w:pPr>
      <w:bookmarkStart w:id="19" w:name="_Toc427932460"/>
      <w:bookmarkStart w:id="20" w:name="_Toc427932989"/>
      <w:r w:rsidRPr="001137BA">
        <w:t>Termes à éviter</w:t>
      </w:r>
      <w:bookmarkEnd w:id="19"/>
      <w:bookmarkEnd w:id="20"/>
    </w:p>
    <w:p w:rsidR="001137BA" w:rsidRDefault="001137BA" w:rsidP="00EC66A2">
      <w:pPr>
        <w:pStyle w:val="Paragraphes"/>
        <w:rPr>
          <w:lang w:eastAsia="fr-FR"/>
        </w:rPr>
      </w:pPr>
      <w:r w:rsidRPr="001137BA">
        <w:rPr>
          <w:lang w:eastAsia="fr-FR"/>
        </w:rPr>
        <w:t>Certains termes sont à éviter dans la correspondance d’affaires. Il pourrait s’agir d’expressions grammaticalement incorrectes ou de mots empruntés à l’anglais, entre autres. Le tableau ci</w:t>
      </w:r>
      <w:r w:rsidRPr="001137BA">
        <w:rPr>
          <w:lang w:eastAsia="fr-FR"/>
        </w:rPr>
        <w:noBreakHyphen/>
        <w:t xml:space="preserve">dessous présente quelques termes à éviter dans une lettre commerciale. </w:t>
      </w:r>
    </w:p>
    <w:tbl>
      <w:tblPr>
        <w:tblStyle w:val="Grilledutableau"/>
        <w:tblW w:w="0" w:type="auto"/>
        <w:tblLook w:val="04A0" w:firstRow="1" w:lastRow="0" w:firstColumn="1" w:lastColumn="0" w:noHBand="0" w:noVBand="1"/>
      </w:tblPr>
      <w:tblGrid>
        <w:gridCol w:w="3114"/>
        <w:gridCol w:w="3118"/>
      </w:tblGrid>
      <w:tr w:rsidR="00416177" w:rsidRPr="00416177" w:rsidTr="00416177">
        <w:tc>
          <w:tcPr>
            <w:tcW w:w="3114" w:type="dxa"/>
            <w:tcBorders>
              <w:top w:val="single" w:sz="4" w:space="0" w:color="auto"/>
              <w:bottom w:val="nil"/>
              <w:right w:val="single" w:sz="4" w:space="0" w:color="auto"/>
            </w:tcBorders>
            <w:shd w:val="clear" w:color="auto" w:fill="DBE5F1"/>
            <w:vAlign w:val="center"/>
          </w:tcPr>
          <w:p w:rsidR="00416177" w:rsidRPr="00416177" w:rsidRDefault="00416177" w:rsidP="00416177">
            <w:pPr>
              <w:spacing w:before="60" w:after="60"/>
              <w:ind w:left="0" w:firstLine="0"/>
              <w:rPr>
                <w:rFonts w:ascii="Arial" w:hAnsi="Arial"/>
                <w:b/>
              </w:rPr>
            </w:pPr>
            <w:r w:rsidRPr="00416177">
              <w:rPr>
                <w:rFonts w:ascii="Arial" w:hAnsi="Arial"/>
                <w:b/>
              </w:rPr>
              <w:t>À éviter</w:t>
            </w:r>
          </w:p>
        </w:tc>
        <w:tc>
          <w:tcPr>
            <w:tcW w:w="3118" w:type="dxa"/>
            <w:tcBorders>
              <w:top w:val="single" w:sz="4" w:space="0" w:color="auto"/>
              <w:left w:val="nil"/>
              <w:bottom w:val="nil"/>
              <w:right w:val="single" w:sz="4" w:space="0" w:color="auto"/>
            </w:tcBorders>
            <w:shd w:val="clear" w:color="auto" w:fill="DBE5F1"/>
            <w:vAlign w:val="center"/>
          </w:tcPr>
          <w:p w:rsidR="00416177" w:rsidRPr="00416177" w:rsidRDefault="00416177" w:rsidP="00416177">
            <w:pPr>
              <w:spacing w:before="60" w:after="60"/>
              <w:ind w:left="0" w:firstLine="0"/>
              <w:rPr>
                <w:rFonts w:ascii="Arial" w:hAnsi="Arial"/>
                <w:b/>
              </w:rPr>
            </w:pPr>
            <w:r w:rsidRPr="00416177">
              <w:rPr>
                <w:rFonts w:ascii="Arial" w:hAnsi="Arial"/>
                <w:b/>
              </w:rPr>
              <w:t>À observer</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r w:rsidRPr="00416177">
              <w:rPr>
                <w:rFonts w:ascii="Arial" w:hAnsi="Arial" w:cs="Arial"/>
                <w:szCs w:val="24"/>
              </w:rPr>
              <w:t>#</w:t>
            </w:r>
          </w:p>
        </w:tc>
        <w:tc>
          <w:tcPr>
            <w:tcW w:w="3118" w:type="dxa"/>
          </w:tcPr>
          <w:p w:rsidR="00416177" w:rsidRPr="00416177" w:rsidRDefault="00416177" w:rsidP="00416177">
            <w:pPr>
              <w:spacing w:before="20"/>
              <w:ind w:left="-31" w:hanging="13"/>
              <w:rPr>
                <w:rFonts w:ascii="Arial" w:hAnsi="Arial" w:cs="Arial"/>
                <w:szCs w:val="24"/>
              </w:rPr>
            </w:pPr>
            <w:r w:rsidRPr="00416177">
              <w:rPr>
                <w:rFonts w:ascii="Arial" w:hAnsi="Arial" w:cs="Arial"/>
                <w:szCs w:val="24"/>
              </w:rPr>
              <w:t>N</w:t>
            </w:r>
            <w:r w:rsidRPr="00416177">
              <w:rPr>
                <w:rFonts w:ascii="Arial" w:hAnsi="Arial" w:cs="Arial"/>
                <w:szCs w:val="24"/>
                <w:vertAlign w:val="superscript"/>
              </w:rPr>
              <w:t>o</w:t>
            </w:r>
            <w:r w:rsidRPr="00416177">
              <w:rPr>
                <w:rFonts w:ascii="Arial" w:hAnsi="Arial" w:cs="Arial"/>
                <w:szCs w:val="24"/>
              </w:rPr>
              <w:t xml:space="preserve"> ou n</w:t>
            </w:r>
            <w:r w:rsidRPr="00416177">
              <w:rPr>
                <w:rFonts w:ascii="Arial" w:hAnsi="Arial" w:cs="Arial"/>
                <w:szCs w:val="24"/>
                <w:vertAlign w:val="superscript"/>
              </w:rPr>
              <w:t>o</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branche</w:t>
            </w:r>
            <w:proofErr w:type="gramEnd"/>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succursale</w:t>
            </w:r>
            <w:proofErr w:type="gramEnd"/>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bureau</w:t>
            </w:r>
            <w:proofErr w:type="gramEnd"/>
            <w:r w:rsidRPr="00416177">
              <w:rPr>
                <w:rFonts w:ascii="Arial" w:hAnsi="Arial" w:cs="Arial"/>
                <w:szCs w:val="24"/>
              </w:rPr>
              <w:t>-chef</w:t>
            </w:r>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siège</w:t>
            </w:r>
            <w:proofErr w:type="gramEnd"/>
            <w:r w:rsidRPr="00416177">
              <w:rPr>
                <w:rFonts w:ascii="Arial" w:hAnsi="Arial" w:cs="Arial"/>
                <w:szCs w:val="24"/>
              </w:rPr>
              <w:t xml:space="preserve"> social</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comptes</w:t>
            </w:r>
            <w:proofErr w:type="gramEnd"/>
            <w:r w:rsidRPr="00416177">
              <w:rPr>
                <w:rFonts w:ascii="Arial" w:hAnsi="Arial" w:cs="Arial"/>
                <w:szCs w:val="24"/>
              </w:rPr>
              <w:t xml:space="preserve"> payables</w:t>
            </w:r>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comptes</w:t>
            </w:r>
            <w:proofErr w:type="gramEnd"/>
            <w:r w:rsidRPr="00416177">
              <w:rPr>
                <w:rFonts w:ascii="Arial" w:hAnsi="Arial" w:cs="Arial"/>
                <w:szCs w:val="24"/>
              </w:rPr>
              <w:t xml:space="preserve"> fournisseurs</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comptes</w:t>
            </w:r>
            <w:proofErr w:type="gramEnd"/>
            <w:r w:rsidRPr="00416177">
              <w:rPr>
                <w:rFonts w:ascii="Arial" w:hAnsi="Arial" w:cs="Arial"/>
                <w:szCs w:val="24"/>
              </w:rPr>
              <w:t xml:space="preserve"> recevables</w:t>
            </w:r>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comptes</w:t>
            </w:r>
            <w:proofErr w:type="gramEnd"/>
            <w:r w:rsidRPr="00416177">
              <w:rPr>
                <w:rFonts w:ascii="Arial" w:hAnsi="Arial" w:cs="Arial"/>
                <w:szCs w:val="24"/>
              </w:rPr>
              <w:t xml:space="preserve"> clients</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ci</w:t>
            </w:r>
            <w:proofErr w:type="gramEnd"/>
            <w:r w:rsidRPr="00416177">
              <w:rPr>
                <w:rFonts w:ascii="Arial" w:hAnsi="Arial" w:cs="Arial"/>
                <w:szCs w:val="24"/>
              </w:rPr>
              <w:t>-attaché</w:t>
            </w:r>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ci</w:t>
            </w:r>
            <w:proofErr w:type="gramEnd"/>
            <w:r w:rsidRPr="00416177">
              <w:rPr>
                <w:rFonts w:ascii="Arial" w:hAnsi="Arial" w:cs="Arial"/>
                <w:szCs w:val="24"/>
              </w:rPr>
              <w:t>-joint, ci-annexé</w:t>
            </w:r>
          </w:p>
        </w:tc>
      </w:tr>
      <w:tr w:rsidR="00416177" w:rsidRPr="00416177" w:rsidTr="00416177">
        <w:tc>
          <w:tcPr>
            <w:tcW w:w="3114" w:type="dxa"/>
          </w:tcPr>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département</w:t>
            </w:r>
            <w:proofErr w:type="gramEnd"/>
            <w:r w:rsidRPr="00416177">
              <w:rPr>
                <w:rFonts w:ascii="Arial" w:hAnsi="Arial" w:cs="Arial"/>
                <w:szCs w:val="24"/>
              </w:rPr>
              <w:t xml:space="preserve"> de la comptabilité </w:t>
            </w:r>
          </w:p>
          <w:p w:rsidR="00416177" w:rsidRPr="00416177" w:rsidRDefault="00416177" w:rsidP="00416177">
            <w:pPr>
              <w:spacing w:before="20"/>
              <w:ind w:left="0" w:firstLine="0"/>
              <w:rPr>
                <w:rFonts w:ascii="Arial" w:hAnsi="Arial" w:cs="Arial"/>
                <w:szCs w:val="24"/>
              </w:rPr>
            </w:pPr>
            <w:proofErr w:type="gramStart"/>
            <w:r w:rsidRPr="00416177">
              <w:rPr>
                <w:rFonts w:ascii="Arial" w:hAnsi="Arial" w:cs="Arial"/>
                <w:szCs w:val="24"/>
              </w:rPr>
              <w:t>département</w:t>
            </w:r>
            <w:proofErr w:type="gramEnd"/>
            <w:r w:rsidRPr="00416177">
              <w:rPr>
                <w:rFonts w:ascii="Arial" w:hAnsi="Arial" w:cs="Arial"/>
                <w:szCs w:val="24"/>
              </w:rPr>
              <w:t xml:space="preserve"> des vêtements</w:t>
            </w:r>
          </w:p>
        </w:tc>
        <w:tc>
          <w:tcPr>
            <w:tcW w:w="3118" w:type="dxa"/>
          </w:tcPr>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service</w:t>
            </w:r>
            <w:proofErr w:type="gramEnd"/>
            <w:r w:rsidRPr="00416177">
              <w:rPr>
                <w:rFonts w:ascii="Arial" w:hAnsi="Arial" w:cs="Arial"/>
                <w:szCs w:val="24"/>
              </w:rPr>
              <w:t xml:space="preserve"> de la comptabilité</w:t>
            </w:r>
          </w:p>
          <w:p w:rsidR="00416177" w:rsidRPr="00416177" w:rsidRDefault="00416177" w:rsidP="00416177">
            <w:pPr>
              <w:spacing w:before="20"/>
              <w:ind w:left="-31" w:hanging="13"/>
              <w:rPr>
                <w:rFonts w:ascii="Arial" w:hAnsi="Arial" w:cs="Arial"/>
                <w:szCs w:val="24"/>
              </w:rPr>
            </w:pPr>
            <w:proofErr w:type="gramStart"/>
            <w:r w:rsidRPr="00416177">
              <w:rPr>
                <w:rFonts w:ascii="Arial" w:hAnsi="Arial" w:cs="Arial"/>
                <w:szCs w:val="24"/>
              </w:rPr>
              <w:t>rayon</w:t>
            </w:r>
            <w:proofErr w:type="gramEnd"/>
            <w:r w:rsidRPr="00416177">
              <w:rPr>
                <w:rFonts w:ascii="Arial" w:hAnsi="Arial" w:cs="Arial"/>
                <w:szCs w:val="24"/>
              </w:rPr>
              <w:t xml:space="preserve"> des vêtements</w:t>
            </w:r>
          </w:p>
        </w:tc>
      </w:tr>
      <w:tr w:rsidR="00416177" w:rsidRPr="00416177" w:rsidTr="00416177">
        <w:tc>
          <w:tcPr>
            <w:tcW w:w="3114" w:type="dxa"/>
          </w:tcPr>
          <w:p w:rsidR="00416177" w:rsidRPr="00416177" w:rsidRDefault="00416177" w:rsidP="00416177">
            <w:pPr>
              <w:spacing w:before="20"/>
              <w:ind w:left="0" w:firstLine="0"/>
              <w:rPr>
                <w:rFonts w:ascii="Arial" w:hAnsi="Arial" w:cs="Arial"/>
                <w:lang w:eastAsia="fr-FR"/>
              </w:rPr>
            </w:pPr>
            <w:proofErr w:type="gramStart"/>
            <w:r w:rsidRPr="00416177">
              <w:rPr>
                <w:rFonts w:ascii="Arial" w:hAnsi="Arial" w:cs="Arial"/>
                <w:lang w:eastAsia="fr-FR"/>
              </w:rPr>
              <w:t>la</w:t>
            </w:r>
            <w:proofErr w:type="gramEnd"/>
            <w:r w:rsidRPr="00416177">
              <w:rPr>
                <w:rFonts w:ascii="Arial" w:hAnsi="Arial" w:cs="Arial"/>
                <w:lang w:eastAsia="fr-FR"/>
              </w:rPr>
              <w:t xml:space="preserve"> date due</w:t>
            </w:r>
          </w:p>
        </w:tc>
        <w:tc>
          <w:tcPr>
            <w:tcW w:w="3118" w:type="dxa"/>
          </w:tcPr>
          <w:p w:rsidR="00416177" w:rsidRPr="00416177" w:rsidRDefault="00416177" w:rsidP="00416177">
            <w:pPr>
              <w:spacing w:before="20"/>
              <w:ind w:left="-31" w:hanging="13"/>
              <w:rPr>
                <w:rFonts w:ascii="Arial" w:hAnsi="Arial" w:cs="Arial"/>
                <w:lang w:eastAsia="fr-FR"/>
              </w:rPr>
            </w:pPr>
            <w:proofErr w:type="gramStart"/>
            <w:r w:rsidRPr="00416177">
              <w:rPr>
                <w:rFonts w:ascii="Arial" w:hAnsi="Arial" w:cs="Arial"/>
                <w:lang w:eastAsia="fr-FR"/>
              </w:rPr>
              <w:t>la</w:t>
            </w:r>
            <w:proofErr w:type="gramEnd"/>
            <w:r w:rsidRPr="00416177">
              <w:rPr>
                <w:rFonts w:ascii="Arial" w:hAnsi="Arial" w:cs="Arial"/>
                <w:lang w:eastAsia="fr-FR"/>
              </w:rPr>
              <w:t xml:space="preserve"> date d’échéance, l’échéance</w:t>
            </w:r>
          </w:p>
        </w:tc>
      </w:tr>
      <w:tr w:rsidR="00416177" w:rsidRPr="00416177" w:rsidTr="00416177">
        <w:tc>
          <w:tcPr>
            <w:tcW w:w="3114" w:type="dxa"/>
          </w:tcPr>
          <w:p w:rsidR="00416177" w:rsidRPr="00416177" w:rsidRDefault="00416177" w:rsidP="00416177">
            <w:pPr>
              <w:spacing w:before="20"/>
              <w:ind w:left="0" w:firstLine="0"/>
              <w:rPr>
                <w:rFonts w:ascii="Arial" w:hAnsi="Arial" w:cs="Arial"/>
                <w:lang w:eastAsia="fr-FR"/>
              </w:rPr>
            </w:pPr>
            <w:proofErr w:type="gramStart"/>
            <w:r w:rsidRPr="00416177">
              <w:rPr>
                <w:rFonts w:ascii="Arial" w:hAnsi="Arial" w:cs="Arial"/>
                <w:lang w:eastAsia="fr-FR"/>
              </w:rPr>
              <w:t>extension</w:t>
            </w:r>
            <w:proofErr w:type="gramEnd"/>
            <w:r w:rsidRPr="00416177">
              <w:rPr>
                <w:rFonts w:ascii="Arial" w:hAnsi="Arial" w:cs="Arial"/>
                <w:lang w:eastAsia="fr-FR"/>
              </w:rPr>
              <w:t xml:space="preserve"> 225</w:t>
            </w:r>
          </w:p>
        </w:tc>
        <w:tc>
          <w:tcPr>
            <w:tcW w:w="3118" w:type="dxa"/>
          </w:tcPr>
          <w:p w:rsidR="00416177" w:rsidRPr="00416177" w:rsidRDefault="00416177" w:rsidP="00416177">
            <w:pPr>
              <w:spacing w:before="20"/>
              <w:ind w:left="-31" w:hanging="13"/>
              <w:rPr>
                <w:rFonts w:ascii="Arial" w:hAnsi="Arial" w:cs="Arial"/>
                <w:lang w:eastAsia="fr-FR"/>
              </w:rPr>
            </w:pPr>
            <w:proofErr w:type="gramStart"/>
            <w:r w:rsidRPr="00416177">
              <w:rPr>
                <w:rFonts w:ascii="Arial" w:hAnsi="Arial" w:cs="Arial"/>
                <w:lang w:eastAsia="fr-FR"/>
              </w:rPr>
              <w:t>poste</w:t>
            </w:r>
            <w:proofErr w:type="gramEnd"/>
            <w:r w:rsidRPr="00416177">
              <w:rPr>
                <w:rFonts w:ascii="Arial" w:hAnsi="Arial" w:cs="Arial"/>
                <w:lang w:eastAsia="fr-FR"/>
              </w:rPr>
              <w:t xml:space="preserve"> 225</w:t>
            </w:r>
          </w:p>
        </w:tc>
      </w:tr>
      <w:tr w:rsidR="00416177" w:rsidRPr="00416177" w:rsidTr="00416177">
        <w:tc>
          <w:tcPr>
            <w:tcW w:w="3114" w:type="dxa"/>
          </w:tcPr>
          <w:p w:rsidR="00416177" w:rsidRPr="00416177" w:rsidRDefault="00416177" w:rsidP="00416177">
            <w:pPr>
              <w:spacing w:before="20"/>
              <w:ind w:left="0" w:firstLine="0"/>
              <w:rPr>
                <w:rFonts w:ascii="Arial" w:hAnsi="Arial" w:cs="Arial"/>
                <w:lang w:eastAsia="fr-FR"/>
              </w:rPr>
            </w:pPr>
            <w:proofErr w:type="gramStart"/>
            <w:r w:rsidRPr="00416177">
              <w:rPr>
                <w:rFonts w:ascii="Arial" w:hAnsi="Arial" w:cs="Arial"/>
                <w:lang w:eastAsia="fr-FR"/>
              </w:rPr>
              <w:t>gérant</w:t>
            </w:r>
            <w:proofErr w:type="gramEnd"/>
            <w:r w:rsidRPr="00416177">
              <w:rPr>
                <w:rFonts w:ascii="Arial" w:hAnsi="Arial" w:cs="Arial"/>
                <w:lang w:eastAsia="fr-FR"/>
              </w:rPr>
              <w:t xml:space="preserve"> des ventes</w:t>
            </w:r>
            <w:r w:rsidRPr="00416177">
              <w:rPr>
                <w:rFonts w:ascii="Arial" w:hAnsi="Arial" w:cs="Arial"/>
                <w:lang w:eastAsia="fr-FR"/>
              </w:rPr>
              <w:br/>
            </w:r>
          </w:p>
        </w:tc>
        <w:tc>
          <w:tcPr>
            <w:tcW w:w="3118" w:type="dxa"/>
          </w:tcPr>
          <w:p w:rsidR="00416177" w:rsidRPr="00416177" w:rsidRDefault="00416177" w:rsidP="00416177">
            <w:pPr>
              <w:spacing w:before="20"/>
              <w:ind w:left="-31" w:hanging="13"/>
              <w:rPr>
                <w:rFonts w:ascii="Arial" w:hAnsi="Arial" w:cs="Arial"/>
                <w:lang w:eastAsia="fr-FR"/>
              </w:rPr>
            </w:pPr>
            <w:proofErr w:type="gramStart"/>
            <w:r w:rsidRPr="00416177">
              <w:rPr>
                <w:rFonts w:ascii="Arial" w:hAnsi="Arial" w:cs="Arial"/>
                <w:lang w:eastAsia="fr-FR"/>
              </w:rPr>
              <w:t>directeur</w:t>
            </w:r>
            <w:proofErr w:type="gramEnd"/>
            <w:r w:rsidRPr="00416177">
              <w:rPr>
                <w:rFonts w:ascii="Arial" w:hAnsi="Arial" w:cs="Arial"/>
                <w:lang w:eastAsia="fr-FR"/>
              </w:rPr>
              <w:t xml:space="preserve"> des ventes</w:t>
            </w:r>
            <w:r w:rsidRPr="00416177">
              <w:rPr>
                <w:rFonts w:ascii="Arial" w:hAnsi="Arial" w:cs="Arial"/>
                <w:lang w:eastAsia="fr-FR"/>
              </w:rPr>
              <w:br/>
              <w:t>directeur commercial</w:t>
            </w:r>
          </w:p>
        </w:tc>
      </w:tr>
    </w:tbl>
    <w:p w:rsidR="001137BA" w:rsidRPr="001137BA" w:rsidRDefault="001137BA" w:rsidP="00485AED">
      <w:pPr>
        <w:pStyle w:val="Sous-titre1"/>
      </w:pPr>
      <w:bookmarkStart w:id="21" w:name="_Toc427932461"/>
      <w:bookmarkStart w:id="22" w:name="_Toc427932990"/>
      <w:r w:rsidRPr="001137BA">
        <w:t>Chiffres</w:t>
      </w:r>
      <w:bookmarkEnd w:id="21"/>
      <w:bookmarkEnd w:id="22"/>
    </w:p>
    <w:p w:rsidR="001137BA" w:rsidRPr="001137BA" w:rsidRDefault="001137BA" w:rsidP="00EC66A2">
      <w:pPr>
        <w:pStyle w:val="Paragraphes"/>
      </w:pPr>
      <w:r w:rsidRPr="001137BA">
        <w:t>Dans une lettre commerciale, vous devrez parfois écrire un nombre en chiffres : le numéro de bâtiment ou de bureau, la date, le numéro de téléphone, les pourcentages et les unités de mesure, par exemple. Ces différents points ont déjà été traités dans les chapitres précédents, mais vous devez également considérer la façon d’indiquer l’heure.</w:t>
      </w:r>
    </w:p>
    <w:p w:rsidR="001137BA" w:rsidRPr="001137BA" w:rsidRDefault="001137BA" w:rsidP="00EC66A2">
      <w:pPr>
        <w:pStyle w:val="Paragraphes"/>
      </w:pPr>
      <w:r w:rsidRPr="001137BA">
        <w:t xml:space="preserve">Les heures s’écrivent de 0 à 24, sans la mention a. m. (A. M.) ou p. m. (P. M.). On écrira 12 h pour midi et 0 h pour minuit. De plus, l’abréviation du mot heure s’écrit </w:t>
      </w:r>
      <w:r w:rsidRPr="001137BA">
        <w:rPr>
          <w:b/>
        </w:rPr>
        <w:t>h</w:t>
      </w:r>
      <w:r w:rsidRPr="001137BA">
        <w:t xml:space="preserve"> et non H ou hres. Par exemple, on ne peut écrire 2 hres ou 15 H 15. </w:t>
      </w:r>
    </w:p>
    <w:p w:rsidR="001137BA" w:rsidRPr="001137BA" w:rsidRDefault="001137BA" w:rsidP="00EC66A2">
      <w:pPr>
        <w:pStyle w:val="Paragraphes"/>
      </w:pPr>
      <w:r w:rsidRPr="001137BA">
        <w:t xml:space="preserve">Il faudrait également éviter de commencer une phrase par un nombre écrit en chiffres. Exemple : </w:t>
      </w:r>
      <w:r w:rsidRPr="00B16116">
        <w:rPr>
          <w:rStyle w:val="Exemple"/>
        </w:rPr>
        <w:t>5 candidatures ont été retenues pour ce poste.</w:t>
      </w:r>
      <w:r w:rsidRPr="001137BA">
        <w:t xml:space="preserve"> Il serait préférable d’écrire la phrase ainsi : </w:t>
      </w:r>
      <w:r w:rsidRPr="00B16116">
        <w:rPr>
          <w:rStyle w:val="Exemple"/>
        </w:rPr>
        <w:t>Cinq candidatures ont été retenues pour ce poste.</w:t>
      </w:r>
    </w:p>
    <w:p w:rsidR="001137BA" w:rsidRPr="00092833" w:rsidRDefault="001137BA" w:rsidP="00EC66A2">
      <w:pPr>
        <w:pStyle w:val="Titreprincipal"/>
      </w:pPr>
      <w:r w:rsidRPr="00092833">
        <w:t>Abréviations</w:t>
      </w:r>
      <w:bookmarkEnd w:id="4"/>
      <w:bookmarkEnd w:id="5"/>
    </w:p>
    <w:p w:rsidR="001137BA" w:rsidRPr="00092833" w:rsidRDefault="001137BA" w:rsidP="00EC66A2">
      <w:pPr>
        <w:pStyle w:val="Paragraphes"/>
      </w:pPr>
      <w:r w:rsidRPr="00092833">
        <w:t xml:space="preserve">Une abréviation est la forme raccourcie d’un mot, par exemple </w:t>
      </w:r>
      <w:r w:rsidRPr="00092833">
        <w:rPr>
          <w:b/>
        </w:rPr>
        <w:t>av</w:t>
      </w:r>
      <w:r w:rsidRPr="00092833">
        <w:t>. pour avenue. On recommande généralement d’éviter les abréviations dans la correspondance d’affaires. Toutefois, certaines abréviations sont nécessaires, telles que l’abréviation n</w:t>
      </w:r>
      <w:r w:rsidRPr="00092833">
        <w:rPr>
          <w:vertAlign w:val="superscript"/>
        </w:rPr>
        <w:t>o</w:t>
      </w:r>
      <w:r w:rsidRPr="00092833">
        <w:t xml:space="preserve"> pour numéro ou encore M</w:t>
      </w:r>
      <w:r w:rsidRPr="00092833">
        <w:rPr>
          <w:vertAlign w:val="superscript"/>
        </w:rPr>
        <w:t>me</w:t>
      </w:r>
      <w:r w:rsidRPr="00092833">
        <w:t xml:space="preserve"> dans la mention copie conforme. </w:t>
      </w:r>
    </w:p>
    <w:p w:rsidR="001137BA" w:rsidRPr="00092833" w:rsidRDefault="001137BA" w:rsidP="00EC66A2">
      <w:pPr>
        <w:pStyle w:val="Paragraphes"/>
      </w:pPr>
      <w:r w:rsidRPr="00092833">
        <w:t>Plusieurs abréviations couramment utilisées dans la correspondance d’affaires ont déjà été traitées dans les chapitres précédents. Le tableau suivant présente quelques abréviations supplémentaires.</w:t>
      </w:r>
    </w:p>
    <w:sectPr w:rsidR="001137BA" w:rsidRPr="00092833" w:rsidSect="00416B3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E10"/>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1" w15:restartNumberingAfterBreak="0">
    <w:nsid w:val="07F85AAE"/>
    <w:multiLevelType w:val="hybridMultilevel"/>
    <w:tmpl w:val="A000997E"/>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 w15:restartNumberingAfterBreak="0">
    <w:nsid w:val="08CE0A1A"/>
    <w:multiLevelType w:val="hybridMultilevel"/>
    <w:tmpl w:val="CA7A50B8"/>
    <w:lvl w:ilvl="0" w:tplc="23BA0DCC">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A5D5536"/>
    <w:multiLevelType w:val="hybridMultilevel"/>
    <w:tmpl w:val="7A0E00EC"/>
    <w:lvl w:ilvl="0" w:tplc="BB6A505E">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15:restartNumberingAfterBreak="0">
    <w:nsid w:val="16724712"/>
    <w:multiLevelType w:val="hybridMultilevel"/>
    <w:tmpl w:val="19120A2A"/>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5" w15:restartNumberingAfterBreak="0">
    <w:nsid w:val="1CF4760F"/>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6" w15:restartNumberingAfterBreak="0">
    <w:nsid w:val="420506A7"/>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7" w15:restartNumberingAfterBreak="0">
    <w:nsid w:val="47A41449"/>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8" w15:restartNumberingAfterBreak="0">
    <w:nsid w:val="498778A5"/>
    <w:multiLevelType w:val="hybridMultilevel"/>
    <w:tmpl w:val="A000997E"/>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9" w15:restartNumberingAfterBreak="0">
    <w:nsid w:val="50BD17B3"/>
    <w:multiLevelType w:val="hybridMultilevel"/>
    <w:tmpl w:val="A000997E"/>
    <w:lvl w:ilvl="0" w:tplc="5F8844E4">
      <w:start w:val="1"/>
      <w:numFmt w:val="decimal"/>
      <w:lvlText w:val="%1."/>
      <w:lvlJc w:val="left"/>
      <w:pPr>
        <w:ind w:left="360" w:hanging="360"/>
      </w:pPr>
      <w:rPr>
        <w:rFonts w:hint="default"/>
        <w:b w:val="0"/>
        <w:i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5F796207"/>
    <w:multiLevelType w:val="hybridMultilevel"/>
    <w:tmpl w:val="8966A5BC"/>
    <w:lvl w:ilvl="0" w:tplc="5F8844E4">
      <w:start w:val="1"/>
      <w:numFmt w:val="decimal"/>
      <w:lvlText w:val="%1."/>
      <w:lvlJc w:val="left"/>
      <w:pPr>
        <w:ind w:left="1004" w:hanging="360"/>
      </w:pPr>
      <w:rPr>
        <w:rFonts w:hint="default"/>
        <w:b w:val="0"/>
        <w:i w:val="0"/>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1" w15:restartNumberingAfterBreak="0">
    <w:nsid w:val="6CDC78FC"/>
    <w:multiLevelType w:val="hybridMultilevel"/>
    <w:tmpl w:val="85CEC002"/>
    <w:lvl w:ilvl="0" w:tplc="DC6A71AE">
      <w:start w:val="1"/>
      <w:numFmt w:val="lowerLetter"/>
      <w:lvlText w:val="%1."/>
      <w:lvlJc w:val="left"/>
      <w:pPr>
        <w:ind w:left="1466" w:hanging="360"/>
      </w:pPr>
      <w:rPr>
        <w:rFonts w:hint="default"/>
      </w:rPr>
    </w:lvl>
    <w:lvl w:ilvl="1" w:tplc="0C0C0019" w:tentative="1">
      <w:start w:val="1"/>
      <w:numFmt w:val="lowerLetter"/>
      <w:lvlText w:val="%2."/>
      <w:lvlJc w:val="left"/>
      <w:pPr>
        <w:ind w:left="2186" w:hanging="360"/>
      </w:pPr>
    </w:lvl>
    <w:lvl w:ilvl="2" w:tplc="0C0C001B" w:tentative="1">
      <w:start w:val="1"/>
      <w:numFmt w:val="lowerRoman"/>
      <w:lvlText w:val="%3."/>
      <w:lvlJc w:val="right"/>
      <w:pPr>
        <w:ind w:left="2906" w:hanging="180"/>
      </w:pPr>
    </w:lvl>
    <w:lvl w:ilvl="3" w:tplc="0C0C000F" w:tentative="1">
      <w:start w:val="1"/>
      <w:numFmt w:val="decimal"/>
      <w:lvlText w:val="%4."/>
      <w:lvlJc w:val="left"/>
      <w:pPr>
        <w:ind w:left="3626" w:hanging="360"/>
      </w:pPr>
    </w:lvl>
    <w:lvl w:ilvl="4" w:tplc="0C0C0019" w:tentative="1">
      <w:start w:val="1"/>
      <w:numFmt w:val="lowerLetter"/>
      <w:lvlText w:val="%5."/>
      <w:lvlJc w:val="left"/>
      <w:pPr>
        <w:ind w:left="4346" w:hanging="360"/>
      </w:pPr>
    </w:lvl>
    <w:lvl w:ilvl="5" w:tplc="0C0C001B" w:tentative="1">
      <w:start w:val="1"/>
      <w:numFmt w:val="lowerRoman"/>
      <w:lvlText w:val="%6."/>
      <w:lvlJc w:val="right"/>
      <w:pPr>
        <w:ind w:left="5066" w:hanging="180"/>
      </w:pPr>
    </w:lvl>
    <w:lvl w:ilvl="6" w:tplc="0C0C000F" w:tentative="1">
      <w:start w:val="1"/>
      <w:numFmt w:val="decimal"/>
      <w:lvlText w:val="%7."/>
      <w:lvlJc w:val="left"/>
      <w:pPr>
        <w:ind w:left="5786" w:hanging="360"/>
      </w:pPr>
    </w:lvl>
    <w:lvl w:ilvl="7" w:tplc="0C0C0019" w:tentative="1">
      <w:start w:val="1"/>
      <w:numFmt w:val="lowerLetter"/>
      <w:lvlText w:val="%8."/>
      <w:lvlJc w:val="left"/>
      <w:pPr>
        <w:ind w:left="6506" w:hanging="360"/>
      </w:pPr>
    </w:lvl>
    <w:lvl w:ilvl="8" w:tplc="0C0C001B" w:tentative="1">
      <w:start w:val="1"/>
      <w:numFmt w:val="lowerRoman"/>
      <w:lvlText w:val="%9."/>
      <w:lvlJc w:val="right"/>
      <w:pPr>
        <w:ind w:left="7226" w:hanging="180"/>
      </w:pPr>
    </w:lvl>
  </w:abstractNum>
  <w:abstractNum w:abstractNumId="12" w15:restartNumberingAfterBreak="0">
    <w:nsid w:val="7E4E446B"/>
    <w:multiLevelType w:val="hybridMultilevel"/>
    <w:tmpl w:val="10A015F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num w:numId="1">
    <w:abstractNumId w:val="12"/>
  </w:num>
  <w:num w:numId="2">
    <w:abstractNumId w:val="4"/>
  </w:num>
  <w:num w:numId="3">
    <w:abstractNumId w:val="9"/>
  </w:num>
  <w:num w:numId="4">
    <w:abstractNumId w:val="10"/>
  </w:num>
  <w:num w:numId="5">
    <w:abstractNumId w:val="6"/>
  </w:num>
  <w:num w:numId="6">
    <w:abstractNumId w:val="7"/>
  </w:num>
  <w:num w:numId="7">
    <w:abstractNumId w:val="11"/>
  </w:num>
  <w:num w:numId="8">
    <w:abstractNumId w:val="0"/>
  </w:num>
  <w:num w:numId="9">
    <w:abstractNumId w:val="5"/>
  </w:num>
  <w:num w:numId="10">
    <w:abstractNumId w:val="1"/>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BA"/>
    <w:rsid w:val="000B4525"/>
    <w:rsid w:val="000D62EB"/>
    <w:rsid w:val="000D766C"/>
    <w:rsid w:val="000F4DCF"/>
    <w:rsid w:val="00107CD5"/>
    <w:rsid w:val="001137BA"/>
    <w:rsid w:val="00137D84"/>
    <w:rsid w:val="001445C8"/>
    <w:rsid w:val="001D46AB"/>
    <w:rsid w:val="001E1560"/>
    <w:rsid w:val="001E3082"/>
    <w:rsid w:val="0021539D"/>
    <w:rsid w:val="002C43DF"/>
    <w:rsid w:val="002D129E"/>
    <w:rsid w:val="002F7B93"/>
    <w:rsid w:val="0034211A"/>
    <w:rsid w:val="003520F8"/>
    <w:rsid w:val="00370879"/>
    <w:rsid w:val="00397072"/>
    <w:rsid w:val="00416177"/>
    <w:rsid w:val="00416B3B"/>
    <w:rsid w:val="00485AED"/>
    <w:rsid w:val="004C24B7"/>
    <w:rsid w:val="004D3719"/>
    <w:rsid w:val="004E20BF"/>
    <w:rsid w:val="00551FBA"/>
    <w:rsid w:val="005E75E9"/>
    <w:rsid w:val="006259E5"/>
    <w:rsid w:val="006C0D46"/>
    <w:rsid w:val="007047F6"/>
    <w:rsid w:val="00712334"/>
    <w:rsid w:val="007516EA"/>
    <w:rsid w:val="0075431B"/>
    <w:rsid w:val="00771369"/>
    <w:rsid w:val="007B1D58"/>
    <w:rsid w:val="00825B01"/>
    <w:rsid w:val="00853C1E"/>
    <w:rsid w:val="008731A6"/>
    <w:rsid w:val="008A64CD"/>
    <w:rsid w:val="008B7DBE"/>
    <w:rsid w:val="008E25ED"/>
    <w:rsid w:val="00906F81"/>
    <w:rsid w:val="00970A66"/>
    <w:rsid w:val="00990F4F"/>
    <w:rsid w:val="00A054D3"/>
    <w:rsid w:val="00B16116"/>
    <w:rsid w:val="00B863BB"/>
    <w:rsid w:val="00B87A03"/>
    <w:rsid w:val="00B96CDE"/>
    <w:rsid w:val="00CA099A"/>
    <w:rsid w:val="00CB5C26"/>
    <w:rsid w:val="00CE1A92"/>
    <w:rsid w:val="00D423E1"/>
    <w:rsid w:val="00D62521"/>
    <w:rsid w:val="00DC215F"/>
    <w:rsid w:val="00DE23E3"/>
    <w:rsid w:val="00DE33CF"/>
    <w:rsid w:val="00E725F0"/>
    <w:rsid w:val="00EC3C51"/>
    <w:rsid w:val="00EC66A2"/>
    <w:rsid w:val="00F35B17"/>
    <w:rsid w:val="00FA25DC"/>
    <w:rsid w:val="00FC68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2C36-81DA-47CF-9CB9-53333CBF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29E"/>
  </w:style>
  <w:style w:type="paragraph" w:styleId="Titre4">
    <w:name w:val="heading 4"/>
    <w:basedOn w:val="Normal"/>
    <w:next w:val="Normal"/>
    <w:link w:val="Titre4Car"/>
    <w:autoRedefine/>
    <w:uiPriority w:val="9"/>
    <w:unhideWhenUsed/>
    <w:qFormat/>
    <w:rsid w:val="00CE1A92"/>
    <w:pPr>
      <w:keepNext/>
      <w:keepLines/>
      <w:spacing w:before="200" w:line="276" w:lineRule="auto"/>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E1A92"/>
    <w:rPr>
      <w:rFonts w:asciiTheme="majorHAnsi" w:eastAsiaTheme="majorEastAsia" w:hAnsiTheme="majorHAnsi" w:cstheme="majorBidi"/>
      <w:b/>
      <w:bCs/>
      <w:i/>
      <w:iCs/>
      <w:color w:val="4472C4" w:themeColor="accent1"/>
    </w:rPr>
  </w:style>
  <w:style w:type="paragraph" w:customStyle="1" w:styleId="2PageParagraph">
    <w:name w:val="2 Page Paragraph"/>
    <w:basedOn w:val="Normal"/>
    <w:qFormat/>
    <w:rsid w:val="001137BA"/>
    <w:pPr>
      <w:spacing w:after="120" w:line="259" w:lineRule="auto"/>
      <w:ind w:left="567"/>
    </w:pPr>
    <w:rPr>
      <w:rFonts w:eastAsia="Times New Roman" w:cs="Times New Roman"/>
      <w:szCs w:val="24"/>
    </w:rPr>
  </w:style>
  <w:style w:type="paragraph" w:customStyle="1" w:styleId="2PageTitle1">
    <w:name w:val="2 Page Title 1"/>
    <w:basedOn w:val="Normal"/>
    <w:next w:val="2PageParagraph"/>
    <w:qFormat/>
    <w:rsid w:val="001137BA"/>
    <w:pPr>
      <w:keepNext/>
      <w:spacing w:after="120"/>
    </w:pPr>
    <w:rPr>
      <w:rFonts w:ascii="Microsoft New Tai Lue" w:eastAsia="Microsoft JhengHei" w:hAnsi="Microsoft New Tai Lue" w:cs="Microsoft New Tai Lue"/>
      <w:b/>
      <w:color w:val="323E4F" w:themeColor="text2" w:themeShade="BF"/>
      <w:spacing w:val="-2"/>
      <w:sz w:val="44"/>
      <w:szCs w:val="40"/>
    </w:rPr>
  </w:style>
  <w:style w:type="table" w:styleId="Grilledutableau">
    <w:name w:val="Table Grid"/>
    <w:basedOn w:val="TableauNormal"/>
    <w:uiPriority w:val="39"/>
    <w:rsid w:val="001137BA"/>
    <w:pPr>
      <w:spacing w:after="20"/>
      <w:ind w:left="1463" w:hanging="357"/>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D3719"/>
    <w:pPr>
      <w:ind w:left="720"/>
      <w:contextualSpacing/>
    </w:pPr>
  </w:style>
  <w:style w:type="paragraph" w:customStyle="1" w:styleId="Paragraphes">
    <w:name w:val="Paragraphes"/>
    <w:basedOn w:val="Normal"/>
    <w:link w:val="ParagraphesCar"/>
    <w:qFormat/>
    <w:rsid w:val="00EC66A2"/>
    <w:pPr>
      <w:spacing w:after="120" w:line="259" w:lineRule="auto"/>
    </w:pPr>
    <w:rPr>
      <w:rFonts w:eastAsia="Times New Roman" w:cs="Times New Roman"/>
      <w:szCs w:val="24"/>
    </w:rPr>
  </w:style>
  <w:style w:type="paragraph" w:customStyle="1" w:styleId="Titreprincipal">
    <w:name w:val="Titre principal"/>
    <w:basedOn w:val="Normal"/>
    <w:link w:val="TitreprincipalCar"/>
    <w:qFormat/>
    <w:rsid w:val="00EC66A2"/>
    <w:pPr>
      <w:keepNext/>
      <w:spacing w:before="360" w:after="120"/>
    </w:pPr>
    <w:rPr>
      <w:rFonts w:ascii="Microsoft New Tai Lue" w:eastAsia="Microsoft JhengHei" w:hAnsi="Microsoft New Tai Lue" w:cs="Microsoft New Tai Lue"/>
      <w:b/>
      <w:color w:val="17365D"/>
      <w:spacing w:val="-2"/>
      <w:sz w:val="40"/>
      <w:szCs w:val="40"/>
    </w:rPr>
  </w:style>
  <w:style w:type="character" w:customStyle="1" w:styleId="ParagraphesCar">
    <w:name w:val="Paragraphes Car"/>
    <w:basedOn w:val="Policepardfaut"/>
    <w:link w:val="Paragraphes"/>
    <w:rsid w:val="00EC66A2"/>
    <w:rPr>
      <w:rFonts w:eastAsia="Times New Roman" w:cs="Times New Roman"/>
      <w:szCs w:val="24"/>
    </w:rPr>
  </w:style>
  <w:style w:type="paragraph" w:customStyle="1" w:styleId="Sous-titre1">
    <w:name w:val="Sous-titre 1"/>
    <w:basedOn w:val="Normal"/>
    <w:link w:val="Sous-titre1Car"/>
    <w:qFormat/>
    <w:rsid w:val="00485AED"/>
    <w:pPr>
      <w:keepNext/>
      <w:spacing w:before="240" w:after="80"/>
    </w:pPr>
    <w:rPr>
      <w:rFonts w:ascii="Microsoft New Tai Lue" w:eastAsia="Times New Roman" w:hAnsi="Microsoft New Tai Lue" w:cs="Microsoft New Tai Lue"/>
      <w:color w:val="C00000"/>
      <w:sz w:val="32"/>
      <w:szCs w:val="32"/>
    </w:rPr>
  </w:style>
  <w:style w:type="character" w:customStyle="1" w:styleId="TitreprincipalCar">
    <w:name w:val="Titre principal Car"/>
    <w:basedOn w:val="Policepardfaut"/>
    <w:link w:val="Titreprincipal"/>
    <w:rsid w:val="00EC66A2"/>
    <w:rPr>
      <w:rFonts w:ascii="Microsoft New Tai Lue" w:eastAsia="Microsoft JhengHei" w:hAnsi="Microsoft New Tai Lue" w:cs="Microsoft New Tai Lue"/>
      <w:b/>
      <w:color w:val="17365D"/>
      <w:spacing w:val="-2"/>
      <w:sz w:val="40"/>
      <w:szCs w:val="40"/>
    </w:rPr>
  </w:style>
  <w:style w:type="character" w:customStyle="1" w:styleId="Exemple">
    <w:name w:val="Exemple"/>
    <w:basedOn w:val="Policepardfaut"/>
    <w:uiPriority w:val="1"/>
    <w:qFormat/>
    <w:rsid w:val="00485AED"/>
    <w:rPr>
      <w:rFonts w:cs="Times New Roman"/>
      <w:i/>
      <w:szCs w:val="24"/>
    </w:rPr>
  </w:style>
  <w:style w:type="character" w:customStyle="1" w:styleId="Sous-titre1Car">
    <w:name w:val="Sous-titre 1 Car"/>
    <w:basedOn w:val="Policepardfaut"/>
    <w:link w:val="Sous-titre1"/>
    <w:rsid w:val="00485AED"/>
    <w:rPr>
      <w:rFonts w:ascii="Microsoft New Tai Lue" w:eastAsia="Times New Roman" w:hAnsi="Microsoft New Tai Lue" w:cs="Microsoft New Tai Lue"/>
      <w:color w:val="C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4884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Prentice</dc:creator>
  <cp:keywords/>
  <dc:description/>
  <cp:lastModifiedBy>Alice Daigle</cp:lastModifiedBy>
  <cp:revision>4</cp:revision>
  <dcterms:created xsi:type="dcterms:W3CDTF">2019-04-09T15:14:00Z</dcterms:created>
  <dcterms:modified xsi:type="dcterms:W3CDTF">2019-04-09T15:54:00Z</dcterms:modified>
</cp:coreProperties>
</file>