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D25" w:rsidRPr="00A12EDB" w:rsidRDefault="006B5FCD" w:rsidP="006B5FCD">
      <w:pPr>
        <w:spacing w:before="1000" w:after="0" w:line="240" w:lineRule="auto"/>
        <w:jc w:val="center"/>
        <w:rPr>
          <w:rFonts w:cs="Times New Roman"/>
          <w:lang w:val="fr-CA"/>
        </w:rPr>
      </w:pPr>
      <w:r w:rsidRPr="00A12EDB">
        <w:rPr>
          <w:rFonts w:cs="Times New Roman"/>
          <w:lang w:val="fr-CA"/>
        </w:rPr>
        <w:t>EXPERTISE SAMSON &amp; MILNER</w:t>
      </w:r>
    </w:p>
    <w:p w:rsidR="0020555D" w:rsidRPr="00A12EDB" w:rsidRDefault="006B5FCD" w:rsidP="006B5FCD">
      <w:pPr>
        <w:spacing w:after="0" w:line="240" w:lineRule="auto"/>
        <w:jc w:val="center"/>
        <w:rPr>
          <w:rFonts w:cs="Times New Roman"/>
          <w:lang w:val="fr-CA"/>
        </w:rPr>
      </w:pPr>
      <w:r w:rsidRPr="00A12EDB">
        <w:rPr>
          <w:rFonts w:cs="Times New Roman"/>
          <w:lang w:val="fr-CA"/>
        </w:rPr>
        <w:t>RAPPORT VISANT À ÉVALUER L’OPPORTUNITÉ</w:t>
      </w:r>
      <w:r w:rsidRPr="00A12EDB">
        <w:rPr>
          <w:rFonts w:cs="Times New Roman"/>
          <w:lang w:val="fr-CA"/>
        </w:rPr>
        <w:br/>
        <w:t>D’INVESTIR DANS LA FORMATION DES EMPLOYÉS</w:t>
      </w:r>
      <w:r w:rsidRPr="00A12EDB">
        <w:rPr>
          <w:rFonts w:cs="Times New Roman"/>
          <w:lang w:val="fr-CA"/>
        </w:rPr>
        <w:br/>
        <w:t>AFIN DE MIEUX RÉPONDRE AUX BESOINS DE LA CLIENTÈLE</w:t>
      </w:r>
    </w:p>
    <w:p w:rsidR="0020555D" w:rsidRPr="00A12EDB" w:rsidRDefault="006B5FCD" w:rsidP="006B5FCD">
      <w:pPr>
        <w:spacing w:after="0" w:line="240" w:lineRule="auto"/>
        <w:jc w:val="center"/>
        <w:rPr>
          <w:rFonts w:cs="Times New Roman"/>
          <w:lang w:val="fr-CA"/>
        </w:rPr>
      </w:pPr>
      <w:r w:rsidRPr="00A12EDB">
        <w:rPr>
          <w:rFonts w:cs="Times New Roman"/>
          <w:lang w:val="fr-CA"/>
        </w:rPr>
        <w:t>p</w:t>
      </w:r>
      <w:r w:rsidR="0020555D" w:rsidRPr="00A12EDB">
        <w:rPr>
          <w:rFonts w:cs="Times New Roman"/>
          <w:lang w:val="fr-CA"/>
        </w:rPr>
        <w:t>résenté à</w:t>
      </w:r>
      <w:r w:rsidRPr="00A12EDB">
        <w:rPr>
          <w:rFonts w:cs="Times New Roman"/>
          <w:lang w:val="fr-CA"/>
        </w:rPr>
        <w:br/>
      </w:r>
      <w:r w:rsidRPr="00A12EDB">
        <w:rPr>
          <w:rFonts w:cs="Times New Roman"/>
          <w:lang w:val="fr-CA"/>
        </w:rPr>
        <w:br/>
      </w:r>
      <w:r w:rsidR="005D7D41" w:rsidRPr="00A12EDB">
        <w:rPr>
          <w:rFonts w:cs="Times New Roman"/>
          <w:lang w:val="fr-CA"/>
        </w:rPr>
        <w:t xml:space="preserve">Madame </w:t>
      </w:r>
      <w:r w:rsidRPr="00A12EDB">
        <w:rPr>
          <w:rFonts w:cs="Times New Roman"/>
          <w:lang w:val="fr-CA"/>
        </w:rPr>
        <w:t>Louise Samson</w:t>
      </w:r>
      <w:r w:rsidRPr="00A12EDB">
        <w:rPr>
          <w:rFonts w:cs="Times New Roman"/>
          <w:lang w:val="fr-CA"/>
        </w:rPr>
        <w:br/>
      </w:r>
      <w:r w:rsidR="0020555D" w:rsidRPr="00A12EDB">
        <w:rPr>
          <w:rFonts w:cs="Times New Roman"/>
          <w:lang w:val="fr-CA"/>
        </w:rPr>
        <w:t>et</w:t>
      </w:r>
      <w:r w:rsidRPr="00A12EDB">
        <w:rPr>
          <w:rFonts w:cs="Times New Roman"/>
          <w:lang w:val="fr-CA"/>
        </w:rPr>
        <w:br/>
      </w:r>
      <w:r w:rsidR="005D7D41" w:rsidRPr="00A12EDB">
        <w:rPr>
          <w:rFonts w:cs="Times New Roman"/>
          <w:lang w:val="fr-CA"/>
        </w:rPr>
        <w:t xml:space="preserve">Monsieur </w:t>
      </w:r>
      <w:r w:rsidR="0020555D" w:rsidRPr="00A12EDB">
        <w:rPr>
          <w:rFonts w:cs="Times New Roman"/>
          <w:lang w:val="fr-CA"/>
        </w:rPr>
        <w:t xml:space="preserve">John </w:t>
      </w:r>
      <w:r w:rsidRPr="00A12EDB">
        <w:rPr>
          <w:rFonts w:cs="Times New Roman"/>
          <w:lang w:val="fr-CA"/>
        </w:rPr>
        <w:t>Milner</w:t>
      </w:r>
      <w:r w:rsidRPr="00A12EDB">
        <w:rPr>
          <w:rFonts w:cs="Times New Roman"/>
          <w:lang w:val="fr-CA"/>
        </w:rPr>
        <w:br/>
        <w:t>A</w:t>
      </w:r>
      <w:r w:rsidR="0020555D" w:rsidRPr="00A12EDB">
        <w:rPr>
          <w:rFonts w:cs="Times New Roman"/>
          <w:lang w:val="fr-CA"/>
        </w:rPr>
        <w:t>ssociés de la firme E</w:t>
      </w:r>
      <w:bookmarkStart w:id="0" w:name="_GoBack"/>
      <w:bookmarkEnd w:id="0"/>
      <w:r w:rsidR="0020555D" w:rsidRPr="00A12EDB">
        <w:rPr>
          <w:rFonts w:cs="Times New Roman"/>
          <w:lang w:val="fr-CA"/>
        </w:rPr>
        <w:t>xpertise Samson &amp; Milner</w:t>
      </w:r>
    </w:p>
    <w:p w:rsidR="005D7D41" w:rsidRPr="00A12EDB" w:rsidRDefault="006B5FCD" w:rsidP="006B5FCD">
      <w:pPr>
        <w:spacing w:after="0" w:line="240" w:lineRule="auto"/>
        <w:jc w:val="center"/>
        <w:rPr>
          <w:rFonts w:cs="Times New Roman"/>
          <w:lang w:val="fr-CA"/>
        </w:rPr>
      </w:pPr>
      <w:r w:rsidRPr="00A12EDB">
        <w:rPr>
          <w:rFonts w:cs="Times New Roman"/>
          <w:lang w:val="fr-CA"/>
        </w:rPr>
        <w:t>p</w:t>
      </w:r>
      <w:r w:rsidR="005D7D41" w:rsidRPr="00A12EDB">
        <w:rPr>
          <w:rFonts w:cs="Times New Roman"/>
          <w:lang w:val="fr-CA"/>
        </w:rPr>
        <w:t>ar</w:t>
      </w:r>
      <w:r w:rsidRPr="00A12EDB">
        <w:rPr>
          <w:rFonts w:cs="Times New Roman"/>
          <w:lang w:val="fr-CA"/>
        </w:rPr>
        <w:br/>
      </w:r>
      <w:r w:rsidRPr="00A12EDB">
        <w:rPr>
          <w:rFonts w:cs="Times New Roman"/>
          <w:lang w:val="fr-CA"/>
        </w:rPr>
        <w:br/>
        <w:t>Daniel Duval</w:t>
      </w:r>
      <w:r w:rsidRPr="00A12EDB">
        <w:rPr>
          <w:rFonts w:cs="Times New Roman"/>
          <w:lang w:val="fr-CA"/>
        </w:rPr>
        <w:br/>
        <w:t>C</w:t>
      </w:r>
      <w:r w:rsidR="003B1FCB" w:rsidRPr="00A12EDB">
        <w:rPr>
          <w:rFonts w:cs="Times New Roman"/>
          <w:lang w:val="fr-CA"/>
        </w:rPr>
        <w:t>hargé de projet</w:t>
      </w:r>
      <w:r w:rsidR="005D7D41" w:rsidRPr="00A12EDB">
        <w:rPr>
          <w:rFonts w:cs="Times New Roman"/>
          <w:lang w:val="fr-CA"/>
        </w:rPr>
        <w:t xml:space="preserve"> en formation des employés</w:t>
      </w:r>
      <w:r w:rsidRPr="00A12EDB">
        <w:rPr>
          <w:rFonts w:cs="Times New Roman"/>
          <w:lang w:val="fr-CA"/>
        </w:rPr>
        <w:br/>
      </w:r>
      <w:r w:rsidR="005D7D41" w:rsidRPr="00A12EDB">
        <w:rPr>
          <w:rFonts w:cs="Times New Roman"/>
          <w:lang w:val="fr-CA"/>
        </w:rPr>
        <w:t>et</w:t>
      </w:r>
      <w:r w:rsidRPr="00A12EDB">
        <w:rPr>
          <w:rFonts w:cs="Times New Roman"/>
          <w:lang w:val="fr-CA"/>
        </w:rPr>
        <w:br/>
      </w:r>
      <w:r w:rsidR="005D7D41" w:rsidRPr="00A12EDB">
        <w:rPr>
          <w:rFonts w:cs="Times New Roman"/>
          <w:lang w:val="fr-CA"/>
        </w:rPr>
        <w:t>Manon Piché</w:t>
      </w:r>
      <w:r w:rsidRPr="00A12EDB">
        <w:rPr>
          <w:rFonts w:cs="Times New Roman"/>
          <w:lang w:val="fr-CA"/>
        </w:rPr>
        <w:br/>
        <w:t>A</w:t>
      </w:r>
      <w:r w:rsidR="005D7D41" w:rsidRPr="00A12EDB">
        <w:rPr>
          <w:rFonts w:cs="Times New Roman"/>
          <w:lang w:val="fr-CA"/>
        </w:rPr>
        <w:t>nalyste en efficience organisationnelle</w:t>
      </w:r>
    </w:p>
    <w:p w:rsidR="005D7D41" w:rsidRPr="00A12EDB" w:rsidRDefault="005D7D41" w:rsidP="006B5FCD">
      <w:pPr>
        <w:spacing w:after="1000" w:line="240" w:lineRule="auto"/>
        <w:jc w:val="center"/>
        <w:rPr>
          <w:rFonts w:cs="Times New Roman"/>
          <w:lang w:val="fr-CA"/>
        </w:rPr>
      </w:pPr>
      <w:r w:rsidRPr="00A12EDB">
        <w:rPr>
          <w:rFonts w:cs="Times New Roman"/>
          <w:lang w:val="fr-CA"/>
        </w:rPr>
        <w:t>Montréal, le 4 juin</w:t>
      </w:r>
      <w:r w:rsidR="00790542">
        <w:rPr>
          <w:rFonts w:cs="Times New Roman"/>
          <w:lang w:val="fr-CA"/>
        </w:rPr>
        <w:t> </w:t>
      </w:r>
      <w:r w:rsidRPr="00A12EDB">
        <w:rPr>
          <w:rFonts w:cs="Times New Roman"/>
          <w:lang w:val="fr-CA"/>
        </w:rPr>
        <w:t>201x</w:t>
      </w:r>
    </w:p>
    <w:p w:rsidR="006B5FCD" w:rsidRDefault="006B5FCD" w:rsidP="006B5FCD">
      <w:pPr>
        <w:spacing w:after="0" w:line="240" w:lineRule="auto"/>
        <w:rPr>
          <w:lang w:val="fr-CA"/>
        </w:rPr>
        <w:sectPr w:rsidR="006B5FCD" w:rsidSect="006B5FCD">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code="1"/>
          <w:pgMar w:top="1418" w:right="1418" w:bottom="1418" w:left="1418" w:header="709" w:footer="709" w:gutter="709"/>
          <w:pgBorders>
            <w:top w:val="single" w:sz="12" w:space="1" w:color="auto" w:shadow="1"/>
            <w:left w:val="single" w:sz="12" w:space="1" w:color="auto" w:shadow="1"/>
            <w:bottom w:val="single" w:sz="12" w:space="1" w:color="auto" w:shadow="1"/>
            <w:right w:val="single" w:sz="12" w:space="1" w:color="auto" w:shadow="1"/>
          </w:pgBorders>
          <w:cols w:space="708"/>
          <w:vAlign w:val="both"/>
          <w:titlePg/>
          <w:docGrid w:linePitch="360"/>
        </w:sectPr>
      </w:pPr>
    </w:p>
    <w:p w:rsidR="005D7D41" w:rsidRDefault="005D7D41" w:rsidP="006B5FCD">
      <w:pPr>
        <w:pStyle w:val="TitreSection"/>
      </w:pPr>
      <w:bookmarkStart w:id="1" w:name="_Toc475090093"/>
      <w:r>
        <w:lastRenderedPageBreak/>
        <w:t>Introduction</w:t>
      </w:r>
      <w:bookmarkEnd w:id="1"/>
    </w:p>
    <w:p w:rsidR="003B1FCB" w:rsidRDefault="005D7D41" w:rsidP="006B5FCD">
      <w:pPr>
        <w:pStyle w:val="Paragraphergulier"/>
      </w:pPr>
      <w:r>
        <w:t xml:space="preserve">Le présent rapport a été </w:t>
      </w:r>
      <w:r w:rsidR="003B1FCB">
        <w:t xml:space="preserve">produit pour répondre à la demande des associés et de la directrice aux ressources humaines, dans le but d’éclairer leur prise de décision quant à </w:t>
      </w:r>
      <w:r>
        <w:t>l’</w:t>
      </w:r>
      <w:r w:rsidR="003B1FCB">
        <w:t>opportunité pour la firme Expertise Samson &amp; Milner d’</w:t>
      </w:r>
      <w:r>
        <w:t>investir dans la formation de</w:t>
      </w:r>
      <w:r w:rsidR="00AF4BBD">
        <w:t xml:space="preserve"> se</w:t>
      </w:r>
      <w:r>
        <w:t xml:space="preserve">s employés pour lui permettre de relever les défis auxquels elle fait face. </w:t>
      </w:r>
    </w:p>
    <w:p w:rsidR="005D7D41" w:rsidRDefault="005D7D41" w:rsidP="006B5FCD">
      <w:pPr>
        <w:pStyle w:val="Paragraphergulier"/>
      </w:pPr>
      <w:r>
        <w:t>Expertise Samson &amp; Milner se spécialise depuis 25 ans dans les services-conseils aux entreprises dans les domaines des technologies de l’information, de la communication, du mark</w:t>
      </w:r>
      <w:r w:rsidR="00790542">
        <w:t>é</w:t>
      </w:r>
      <w:r>
        <w:t>ting, du management et de la croissance d’entreprise. Elle compte 670 employés basés à Montréal, Toronto et Québec.</w:t>
      </w:r>
      <w:r w:rsidR="00AF4BBD">
        <w:t xml:space="preserve"> Depuis quelques années, elle fait face à divers problèmes organisationnels qui l’empêchent de se démarquer de la concurrence et de s’assurer de l’entière satisfaction de ses clients. Par conséquent, elle éprouve des difficultés en ce qui concerne la fidélisation de s</w:t>
      </w:r>
      <w:r w:rsidR="00FC319C">
        <w:t>a clientèle</w:t>
      </w:r>
      <w:r w:rsidR="00AF4BBD">
        <w:t>, et les nouveaux contrats sont trop peu nombreux pour assurer sa rentabilité. Conséquemment, Expertise Samson &amp; Milner a mis à pied 160 employés au cours des trois dernières années</w:t>
      </w:r>
      <w:r w:rsidR="00BD0857">
        <w:rPr>
          <w:rStyle w:val="Appelnotedebasdep"/>
        </w:rPr>
        <w:footnoteReference w:id="1"/>
      </w:r>
      <w:r w:rsidR="00AF4BBD">
        <w:t xml:space="preserve">. Cela n’a cependant pas suffi pour redresser la situation, et ces réductions de personnel ont eu pour effet corolaire de miner la motivation de ses employés. Il convient maintenant d’explorer de nouvelles pistes de solution </w:t>
      </w:r>
      <w:r w:rsidR="008B6991">
        <w:t xml:space="preserve">pour </w:t>
      </w:r>
      <w:r w:rsidR="00AF4BBD">
        <w:t xml:space="preserve">ramener l’entreprise dans le chemin </w:t>
      </w:r>
      <w:r w:rsidR="003B1FCB">
        <w:t>de la rentabilité. Ces solutions devront désormais viser à augmenter la satisfaction des clients pour attirer davantage de contrats et positionner la firme Expertise Samson &amp; Milner comme chef de file dans le domaine des services-conseils aux entreprises.</w:t>
      </w:r>
      <w:r w:rsidR="00DE00EA">
        <w:t xml:space="preserve"> </w:t>
      </w:r>
    </w:p>
    <w:p w:rsidR="00DE00EA" w:rsidRDefault="00DE00EA" w:rsidP="006B5FCD">
      <w:pPr>
        <w:pStyle w:val="Paragraphergulier"/>
      </w:pPr>
      <w:r>
        <w:t>Ce rapport s’attache spécifiquement à présenter les bénéfices que l’entreprise pourrait retirer d’investissements dans la formation du personnel afin d’évaluer l’opportunité d’allouer une portion du budget à cette fin. En premier lieu, nous dresserons un bilan des principaux problèmes organisationnels qui affectent l’entreprise et l’empêchent de répondre adéquatement aux besoins de la clientèle. En second lieu, nous étudierons les avantages d’investir dans la formation des employés s</w:t>
      </w:r>
      <w:r w:rsidR="00437CD4">
        <w:t>e</w:t>
      </w:r>
      <w:r w:rsidR="00821009">
        <w:t>lon les données probantes. N</w:t>
      </w:r>
      <w:r>
        <w:t xml:space="preserve">ous examinerons </w:t>
      </w:r>
      <w:r w:rsidR="00821009">
        <w:t>ensuite</w:t>
      </w:r>
      <w:r>
        <w:t xml:space="preserve"> si ces avantages peuvent véritablement permettre à Expertise Samson &amp; Milner de surmonter ses difficultés et d</w:t>
      </w:r>
      <w:r w:rsidR="00437CD4">
        <w:t>’atteindre ses objectifs</w:t>
      </w:r>
      <w:r w:rsidR="00DA335C">
        <w:t xml:space="preserve"> et</w:t>
      </w:r>
      <w:r w:rsidR="00821009">
        <w:t xml:space="preserve"> nous émettrons des recommandations à ce sujet.</w:t>
      </w:r>
    </w:p>
    <w:p w:rsidR="006B5FCD" w:rsidRDefault="006B5FCD" w:rsidP="006B5FCD">
      <w:pPr>
        <w:spacing w:after="0" w:line="240" w:lineRule="auto"/>
        <w:rPr>
          <w:lang w:val="fr-CA"/>
        </w:rPr>
        <w:sectPr w:rsidR="006B5FCD" w:rsidSect="00A12EDB">
          <w:headerReference w:type="first" r:id="rId14"/>
          <w:footerReference w:type="first" r:id="rId15"/>
          <w:pgSz w:w="12240" w:h="15840" w:code="1"/>
          <w:pgMar w:top="1418" w:right="1418" w:bottom="1418" w:left="1418" w:header="709" w:footer="709" w:gutter="709"/>
          <w:pgNumType w:start="1"/>
          <w:cols w:space="708"/>
          <w:titlePg/>
          <w:docGrid w:linePitch="360"/>
        </w:sectPr>
      </w:pPr>
    </w:p>
    <w:p w:rsidR="00437CD4" w:rsidRDefault="00437CD4" w:rsidP="006B5FCD">
      <w:pPr>
        <w:pStyle w:val="TitreSection"/>
      </w:pPr>
      <w:bookmarkStart w:id="2" w:name="_Toc475090094"/>
      <w:r>
        <w:t>Première partie</w:t>
      </w:r>
      <w:bookmarkEnd w:id="2"/>
    </w:p>
    <w:p w:rsidR="00437CD4" w:rsidRDefault="00437CD4" w:rsidP="006B5FCD">
      <w:pPr>
        <w:pStyle w:val="Titreniveau1"/>
      </w:pPr>
      <w:bookmarkStart w:id="3" w:name="_Toc475090095"/>
      <w:r>
        <w:t>Analyse des problèmes organisationnels</w:t>
      </w:r>
      <w:r w:rsidR="006B5FCD">
        <w:br/>
      </w:r>
      <w:r>
        <w:t>d’Expertise Samson &amp; Milner</w:t>
      </w:r>
      <w:bookmarkEnd w:id="3"/>
    </w:p>
    <w:p w:rsidR="00437CD4" w:rsidRDefault="00437CD4" w:rsidP="006B5FCD">
      <w:pPr>
        <w:pStyle w:val="Titreniveau2"/>
      </w:pPr>
      <w:bookmarkStart w:id="4" w:name="_Toc475090096"/>
      <w:r>
        <w:t>Bilan des problèmes soulevés par les associés et les directeurs de Services</w:t>
      </w:r>
      <w:bookmarkEnd w:id="4"/>
    </w:p>
    <w:p w:rsidR="00615652" w:rsidRDefault="00615652" w:rsidP="006B5FCD">
      <w:pPr>
        <w:pStyle w:val="Paragraphergulier"/>
      </w:pPr>
      <w:r>
        <w:t>Les entrevues menées auprès des membres de la direction de la firme permet</w:t>
      </w:r>
      <w:r w:rsidR="00762376">
        <w:t>tent</w:t>
      </w:r>
      <w:r>
        <w:t xml:space="preserve"> de dresser plusieurs constats. D’abord, plusieurs directeurs se sont dits fatigués et surmenés. </w:t>
      </w:r>
      <w:r w:rsidR="00963192">
        <w:t xml:space="preserve">Ils mentionnent la difficulté de s’appuyer sur une équipe </w:t>
      </w:r>
      <w:r w:rsidR="00762376">
        <w:t>au fait des différents dossiers</w:t>
      </w:r>
      <w:r w:rsidR="00DC7C73">
        <w:t xml:space="preserve"> et</w:t>
      </w:r>
      <w:r w:rsidR="00762376">
        <w:t xml:space="preserve"> partageant les objectifs de l’</w:t>
      </w:r>
      <w:r w:rsidR="00DC7C73">
        <w:t xml:space="preserve">entreprise. Ils </w:t>
      </w:r>
      <w:r w:rsidR="00FC319C">
        <w:t>rapportent par ailleurs</w:t>
      </w:r>
      <w:r w:rsidR="00DC7C73">
        <w:t xml:space="preserve"> devoir constamment superviser le travail quotidien des professionnels et des techniciens, ce qui leur laisse peu de temps pour développer de nouvelles stratégies.</w:t>
      </w:r>
      <w:r w:rsidR="00152614">
        <w:t xml:space="preserve"> </w:t>
      </w:r>
      <w:r w:rsidR="00FC319C">
        <w:t xml:space="preserve">Selon leur témoignage, </w:t>
      </w:r>
      <w:r w:rsidR="00EF1381">
        <w:t>plusieurs employés s</w:t>
      </w:r>
      <w:r w:rsidR="00FC319C">
        <w:t>ont</w:t>
      </w:r>
      <w:r w:rsidR="00EF1381">
        <w:t xml:space="preserve"> anxieux, redout</w:t>
      </w:r>
      <w:r w:rsidR="00FC319C">
        <w:t>ent la moindre critique et n’os</w:t>
      </w:r>
      <w:r w:rsidR="00EF1381">
        <w:t xml:space="preserve">ent pas déroger des manières de faire établies, peu importe la situation. </w:t>
      </w:r>
      <w:r w:rsidR="00152614">
        <w:t>Les associés, quant à eux, ont mentionné leurs difficultés à recruter des directeurs de Services qui aient l’expérience et le leade</w:t>
      </w:r>
      <w:r w:rsidR="00790542">
        <w:t>ur</w:t>
      </w:r>
      <w:r w:rsidR="00152614">
        <w:t>ship nécessaires pour mener à bien leurs fonctions.</w:t>
      </w:r>
      <w:r w:rsidR="00DC7C73">
        <w:t xml:space="preserve"> </w:t>
      </w:r>
      <w:r w:rsidR="00152614">
        <w:t>Par ailleurs, des erreurs ont été commises dans quelques dossiers. L’équipe d’Expertise Samson &amp; Milner a en outre omis d’exposer à certains clients les nouvelles r</w:t>
      </w:r>
      <w:r w:rsidR="00790542">
        <w:t>è</w:t>
      </w:r>
      <w:r w:rsidR="00152614">
        <w:t xml:space="preserve">glementations touchant leurs dossiers, ce qui a donné lieu à des plaintes de la part de clients insatisfaits. De plus, le monde des technologies évolue rapidement et malgré sa spécialisation dans le domaine des services-conseils en technologies de l’information, la firme n’est pas parvenue, à plusieurs reprises, à proposer les solutions les plus adaptées à ses clients, ce qui lui a fait perdre une part de marché par rapport à ses concurrents. </w:t>
      </w:r>
    </w:p>
    <w:p w:rsidR="00437CD4" w:rsidRDefault="001C7014" w:rsidP="006B5FCD">
      <w:pPr>
        <w:pStyle w:val="Titreniveau2"/>
      </w:pPr>
      <w:bookmarkStart w:id="5" w:name="_Toc475090097"/>
      <w:r>
        <w:t>Analyse des caractéristiques organisationnelles de l’entreprise</w:t>
      </w:r>
      <w:bookmarkEnd w:id="5"/>
    </w:p>
    <w:p w:rsidR="00152614" w:rsidRDefault="00152614" w:rsidP="006B5FCD">
      <w:pPr>
        <w:pStyle w:val="Paragraphergulier"/>
      </w:pPr>
      <w:r>
        <w:t>Les analyses effectuées dans le cadre de cette étude montrent que le taux de roulement de la firme Expertise Samson &amp; Milner est nettement plus élevé que la moyenne dans son secteur d’activité</w:t>
      </w:r>
      <w:r w:rsidR="00790542">
        <w:t xml:space="preserve">, </w:t>
      </w:r>
      <w:r w:rsidR="00EF1381">
        <w:t>et ce, malgré des salaires similaires à ceux que versent ses concurrents</w:t>
      </w:r>
      <w:r w:rsidR="00BD0857">
        <w:rPr>
          <w:rStyle w:val="Appelnotedebasdep"/>
        </w:rPr>
        <w:footnoteReference w:id="2"/>
      </w:r>
      <w:r>
        <w:t xml:space="preserve">. </w:t>
      </w:r>
      <w:r w:rsidR="00EF1381">
        <w:t>Par ailleurs, un sondage effectué auprès des employés indique que 63</w:t>
      </w:r>
      <w:r w:rsidR="00790542">
        <w:t> %</w:t>
      </w:r>
      <w:r w:rsidR="00EF1381">
        <w:t xml:space="preserve"> d’entre eux se montrent très peu ou peu motivés, et que 56</w:t>
      </w:r>
      <w:r w:rsidR="00790542">
        <w:t> %</w:t>
      </w:r>
      <w:r w:rsidR="00EF1381">
        <w:t xml:space="preserve"> envisagent de changer d’emploi.</w:t>
      </w:r>
    </w:p>
    <w:p w:rsidR="003E5B2A" w:rsidRDefault="003E5B2A" w:rsidP="006B5FCD">
      <w:pPr>
        <w:spacing w:after="0" w:line="240" w:lineRule="auto"/>
        <w:rPr>
          <w:lang w:val="fr-CA"/>
        </w:rPr>
        <w:sectPr w:rsidR="003E5B2A" w:rsidSect="006B5FCD">
          <w:footnotePr>
            <w:pos w:val="beneathText"/>
          </w:footnotePr>
          <w:pgSz w:w="12240" w:h="15840" w:code="1"/>
          <w:pgMar w:top="1418" w:right="1418" w:bottom="1418" w:left="1418" w:header="709" w:footer="709" w:gutter="709"/>
          <w:cols w:space="708"/>
          <w:titlePg/>
          <w:docGrid w:linePitch="360"/>
        </w:sectPr>
      </w:pPr>
    </w:p>
    <w:p w:rsidR="00EF1381" w:rsidRDefault="00EF1381" w:rsidP="003E5B2A">
      <w:pPr>
        <w:pStyle w:val="TitreSection"/>
      </w:pPr>
      <w:bookmarkStart w:id="6" w:name="_Toc475090098"/>
      <w:r>
        <w:t>Deuxième partie</w:t>
      </w:r>
      <w:bookmarkEnd w:id="6"/>
    </w:p>
    <w:p w:rsidR="00EF1381" w:rsidRDefault="003E5B2A" w:rsidP="003E5B2A">
      <w:pPr>
        <w:pStyle w:val="Titreniveau1"/>
      </w:pPr>
      <w:bookmarkStart w:id="7" w:name="_Toc475090099"/>
      <w:r>
        <w:t xml:space="preserve">Avantages des investissements </w:t>
      </w:r>
      <w:r>
        <w:br/>
      </w:r>
      <w:r w:rsidR="00EF1381">
        <w:t>dans la formation des employés</w:t>
      </w:r>
      <w:bookmarkEnd w:id="7"/>
    </w:p>
    <w:p w:rsidR="00EF1381" w:rsidRDefault="00EF1381" w:rsidP="003E5B2A">
      <w:pPr>
        <w:pStyle w:val="Titreniveau2"/>
      </w:pPr>
      <w:bookmarkStart w:id="8" w:name="_Toc475090100"/>
      <w:r>
        <w:t>Augmentation de la productivité</w:t>
      </w:r>
      <w:bookmarkEnd w:id="8"/>
    </w:p>
    <w:p w:rsidR="00EF1381" w:rsidRDefault="00EF1381" w:rsidP="003E5B2A">
      <w:pPr>
        <w:pStyle w:val="Paragraphergulier"/>
      </w:pPr>
      <w:r>
        <w:t xml:space="preserve">Les entreprises qui ont investi dans la formation de leurs employés témoignent d’une productivité accrue de leur personnel. En effet, une formation adaptée aux besoins de l’entreprise permet que les employés se sentent plus à l’aise dans les tâches à </w:t>
      </w:r>
      <w:r w:rsidR="006107C6">
        <w:t>réaliser</w:t>
      </w:r>
      <w:r>
        <w:t xml:space="preserve">, qu’ils puissent les accomplir plus rapidement et prendre en charge des tâches plus complexes. Expertise Samson &amp; Milner embauche des professionnels et des techniciens spécialisés dans leurs </w:t>
      </w:r>
      <w:r w:rsidR="00B36A3E">
        <w:t xml:space="preserve">différents </w:t>
      </w:r>
      <w:r>
        <w:t>champs d’</w:t>
      </w:r>
      <w:r w:rsidR="00B36A3E">
        <w:t xml:space="preserve">expertise, </w:t>
      </w:r>
      <w:r>
        <w:t>des administrateurs,</w:t>
      </w:r>
      <w:r w:rsidR="00B36A3E">
        <w:t xml:space="preserve"> des comptables,</w:t>
      </w:r>
      <w:r>
        <w:t xml:space="preserve"> des techniciens de bureau</w:t>
      </w:r>
      <w:r w:rsidR="00B36A3E">
        <w:t>, etc., mais la formation initiale de ces personnes ne les prépare pas nécessairement à travailler ensemble à réaliser la mission d’une firme de services-conseils. La formation continue leur permet donc d’acquérir des connaissances et des habiletés spécifiques à la nature du tra</w:t>
      </w:r>
      <w:r w:rsidR="006107C6">
        <w:t>vail dans ce type d’entreprise et de</w:t>
      </w:r>
      <w:r w:rsidR="00B36A3E">
        <w:t xml:space="preserve"> mieux comprendre le rôle des autres pour travailler en équipe de manière plus efficace. Cela a donc un effet sur la productivité des employés, qui comprennent mieux leur travail et qui disposent d’outils pour mieux l’accomplir.</w:t>
      </w:r>
    </w:p>
    <w:p w:rsidR="00B36A3E" w:rsidRDefault="00B36A3E" w:rsidP="003E5B2A">
      <w:pPr>
        <w:pStyle w:val="Titreniveau2"/>
      </w:pPr>
      <w:bookmarkStart w:id="9" w:name="_Toc475090101"/>
      <w:r>
        <w:t>Augmentation de l’autonomie des employés</w:t>
      </w:r>
      <w:bookmarkEnd w:id="9"/>
    </w:p>
    <w:p w:rsidR="00B36A3E" w:rsidRDefault="00B36A3E" w:rsidP="003E5B2A">
      <w:pPr>
        <w:pStyle w:val="Paragraphergulier"/>
        <w:rPr>
          <w:rFonts w:cstheme="minorHAnsi"/>
        </w:rPr>
      </w:pPr>
      <w:r>
        <w:t>Des employés qui ont accès à des formations dans le cadre de leur travail sont non seulement plus productifs, mais aussi plus autonomes</w:t>
      </w:r>
      <w:r w:rsidR="00790542">
        <w:t xml:space="preserve">, </w:t>
      </w:r>
      <w:r>
        <w:t xml:space="preserve">car ils ont davantage confiance en leurs capacités et comprennent mieux l’objectif de leur travail. Cela fait en sorte qu’ils ont besoin de moins de supervision de la part de leurs supérieurs, qui peuvent </w:t>
      </w:r>
      <w:r w:rsidR="005E2819">
        <w:t xml:space="preserve">alors </w:t>
      </w:r>
      <w:r>
        <w:t xml:space="preserve">consacrer leur temps à autre chose. Cela contribue également à établir une relation de confiance entre les employés et leurs patrons dans la </w:t>
      </w:r>
      <w:r w:rsidRPr="00B36A3E">
        <w:rPr>
          <w:rFonts w:cstheme="minorHAnsi"/>
        </w:rPr>
        <w:t>mesure o</w:t>
      </w:r>
      <w:r w:rsidR="00FE1701">
        <w:rPr>
          <w:rFonts w:cstheme="minorHAnsi"/>
        </w:rPr>
        <w:t>ù ces derniers reconnaissent davantage l’expertise des personnes qui travaillent dans leur Service et les valorisent plutôt que de leur adresser des reproches. Cela favorise un climat de travail agréable et moins stressant pour tous.</w:t>
      </w:r>
    </w:p>
    <w:p w:rsidR="00FE1701" w:rsidRDefault="00FE1701" w:rsidP="003E5B2A">
      <w:pPr>
        <w:pStyle w:val="Titreniveau2"/>
      </w:pPr>
      <w:bookmarkStart w:id="10" w:name="_Toc475090102"/>
      <w:r>
        <w:t>Formation de futurs leade</w:t>
      </w:r>
      <w:r w:rsidR="00790542">
        <w:t>ur</w:t>
      </w:r>
      <w:r>
        <w:t>s</w:t>
      </w:r>
      <w:bookmarkEnd w:id="10"/>
    </w:p>
    <w:p w:rsidR="00FE1701" w:rsidRDefault="00FE1701" w:rsidP="003E5B2A">
      <w:pPr>
        <w:pStyle w:val="Paragraphergulier"/>
      </w:pPr>
      <w:r>
        <w:t>Investir dans la formation des employés permet d’offrir des occasions de développement professionnel aux salariés de l’entreprise et</w:t>
      </w:r>
      <w:r w:rsidR="006107C6">
        <w:t xml:space="preserve"> cela les encourage, par conséquent,</w:t>
      </w:r>
      <w:r>
        <w:t xml:space="preserve"> </w:t>
      </w:r>
      <w:r w:rsidR="006107C6">
        <w:t>à envisager la</w:t>
      </w:r>
      <w:r w:rsidR="006A3FB2">
        <w:t xml:space="preserve"> progression de leur carrière au sein de la compagnie. Investir dans la formation réduit </w:t>
      </w:r>
      <w:r w:rsidR="006107C6">
        <w:t xml:space="preserve">donc </w:t>
      </w:r>
      <w:r w:rsidR="006A3FB2">
        <w:t xml:space="preserve">les risques que les meilleurs employés aillent cogner à d’autres portes pour obtenir une promotion. Pour la firme, cela permet </w:t>
      </w:r>
      <w:r>
        <w:t xml:space="preserve">de préparer ceux qui en ont les capacités à assumer des postes de direction. Ainsi, les </w:t>
      </w:r>
      <w:r w:rsidR="006107C6">
        <w:t xml:space="preserve">futurs </w:t>
      </w:r>
      <w:r>
        <w:t xml:space="preserve">directeurs </w:t>
      </w:r>
      <w:r w:rsidR="006107C6">
        <w:t>auront</w:t>
      </w:r>
      <w:r>
        <w:t xml:space="preserve"> une bonne connaissance de la mission de l’entreprise </w:t>
      </w:r>
      <w:r w:rsidR="006107C6">
        <w:t>ainsi que</w:t>
      </w:r>
      <w:r>
        <w:t xml:space="preserve"> les compétences pour assumer un leade</w:t>
      </w:r>
      <w:r w:rsidR="00790542">
        <w:t>ur</w:t>
      </w:r>
      <w:r>
        <w:t>ship</w:t>
      </w:r>
      <w:r w:rsidR="00162160">
        <w:rPr>
          <w:rStyle w:val="Appelnotedebasdep"/>
        </w:rPr>
        <w:footnoteReference w:id="3"/>
      </w:r>
      <w:r w:rsidR="005E2819">
        <w:t>. Il</w:t>
      </w:r>
      <w:r w:rsidR="003E5B2A">
        <w:t>s</w:t>
      </w:r>
      <w:r w:rsidR="005E2819">
        <w:t xml:space="preserve"> seront également davantage </w:t>
      </w:r>
      <w:r>
        <w:t xml:space="preserve">en mesure de motiver leurs employés et de s’assurer de la qualité des services offerts aux clients. </w:t>
      </w:r>
    </w:p>
    <w:p w:rsidR="006A3FB2" w:rsidRDefault="006A3FB2" w:rsidP="003E5B2A">
      <w:pPr>
        <w:pStyle w:val="Titreniveau2"/>
      </w:pPr>
      <w:bookmarkStart w:id="11" w:name="_Toc475090103"/>
      <w:r>
        <w:t>Motivation des employés et sentiment d’appartenance à l’entreprise</w:t>
      </w:r>
      <w:bookmarkEnd w:id="11"/>
    </w:p>
    <w:p w:rsidR="006A3FB2" w:rsidRDefault="006A3FB2" w:rsidP="003E5B2A">
      <w:pPr>
        <w:pStyle w:val="Paragraphergulier"/>
      </w:pPr>
      <w:r>
        <w:t xml:space="preserve">Dégager des budgets pour la formation des employés peut également s’avérer être une stratégie gagnante pour augmenter leur motivation au travail. Parce qu’ils sont plus productifs et plus confiants dans la réalisation de leurs tâches, ils acquièrent une vision positive de leur compétence et en tirent un sentiment de fierté. Par ailleurs, les possibilités de développement professionnel au sein de l’entreprise peuvent les pousser à se surpasser, à mettre à jour leurs connaissances et à s’impliquer davantage dans leur milieu de travail, ce qui crée une atmosphère positive et stimulante. </w:t>
      </w:r>
    </w:p>
    <w:p w:rsidR="00A51BBF" w:rsidRDefault="00A51BBF" w:rsidP="003E5B2A">
      <w:pPr>
        <w:pStyle w:val="Titreniveau2"/>
      </w:pPr>
      <w:bookmarkStart w:id="12" w:name="_Toc475090104"/>
      <w:r>
        <w:t>Meilleure rétention des employés</w:t>
      </w:r>
      <w:bookmarkEnd w:id="12"/>
    </w:p>
    <w:p w:rsidR="007D0D2B" w:rsidRDefault="00A51BBF" w:rsidP="003E5B2A">
      <w:pPr>
        <w:pStyle w:val="Paragraphergulier"/>
      </w:pPr>
      <w:r>
        <w:t xml:space="preserve">Les employés heureux au travail et valorisés dans leurs tâches ont davantage tendance </w:t>
      </w:r>
      <w:r w:rsidR="007D0D2B">
        <w:t>à demeurer plus longtemps à l’emploi de la compagnie. Par ailleurs, les possibilités de développement professionnel qu’ouvre la formation continue des employés contribue également à retenir les meilleurs éléments. Un taux de roulement moins élevé permet un meilleur suivi des dossiers, élément crucial pour une firme de services-conseil</w:t>
      </w:r>
      <w:r w:rsidR="00790542">
        <w:t>s.</w:t>
      </w:r>
      <w:r w:rsidR="007D0D2B">
        <w:t xml:space="preserve"> Cela permet aussi de consolider l’expertise de l’entreprise </w:t>
      </w:r>
      <w:r w:rsidR="005E2819">
        <w:t>afin qu’elle se démarque</w:t>
      </w:r>
      <w:r w:rsidR="007D0D2B">
        <w:t xml:space="preserve"> par la qualité de ses services. </w:t>
      </w:r>
    </w:p>
    <w:p w:rsidR="00A51BBF" w:rsidRDefault="00A51BBF" w:rsidP="003E5B2A">
      <w:pPr>
        <w:pStyle w:val="Titreniveau2"/>
      </w:pPr>
      <w:bookmarkStart w:id="13" w:name="_Toc475090105"/>
      <w:r>
        <w:t>Adaptations aux changements de l’environnement de travail</w:t>
      </w:r>
      <w:bookmarkEnd w:id="13"/>
    </w:p>
    <w:p w:rsidR="00A51BBF" w:rsidRDefault="00A51BBF" w:rsidP="003E5B2A">
      <w:pPr>
        <w:pStyle w:val="Paragraphergulier"/>
      </w:pPr>
      <w:r>
        <w:t xml:space="preserve">Pour </w:t>
      </w:r>
      <w:r w:rsidR="00BB57ED">
        <w:t>répondre adéquatement aux besoins des clients, il est nécessaire que l’équipe soit au courant des dernières lois et r</w:t>
      </w:r>
      <w:r w:rsidR="00790542">
        <w:t>è</w:t>
      </w:r>
      <w:r w:rsidR="00BB57ED">
        <w:t>glementations touchant son champ d’expertise afin d’offrir des conseils pertinents pour les besoins des clients. Par ailleurs, étant donné qu’Expertise Samson &amp; Milner se spécialise en partie dans les services-conseils touchant les technologies de l’information, son équipe se doit de mettre à jour son expertise sur les nouveaux produits afin d’offrir des solutions innovantes à ses clients. Pour cela, une formation continue s’avère essentielle, puisque le domaine de la technologie évolue très rapidement.</w:t>
      </w:r>
    </w:p>
    <w:p w:rsidR="003E5B2A" w:rsidRDefault="003E5B2A" w:rsidP="003E5B2A">
      <w:pPr>
        <w:pStyle w:val="Paragraphergulier"/>
        <w:sectPr w:rsidR="003E5B2A" w:rsidSect="006B5FCD">
          <w:pgSz w:w="12240" w:h="15840" w:code="1"/>
          <w:pgMar w:top="1418" w:right="1418" w:bottom="1418" w:left="1418" w:header="709" w:footer="709" w:gutter="709"/>
          <w:cols w:space="708"/>
          <w:titlePg/>
          <w:docGrid w:linePitch="360"/>
        </w:sectPr>
      </w:pPr>
    </w:p>
    <w:p w:rsidR="00DA335C" w:rsidRDefault="00DA335C" w:rsidP="003E5B2A">
      <w:pPr>
        <w:pStyle w:val="TitreSection"/>
      </w:pPr>
      <w:bookmarkStart w:id="14" w:name="_Toc475090106"/>
      <w:r>
        <w:t>Recommandation</w:t>
      </w:r>
      <w:r w:rsidR="00200A62">
        <w:t>s</w:t>
      </w:r>
      <w:bookmarkEnd w:id="14"/>
    </w:p>
    <w:p w:rsidR="00DA335C" w:rsidRDefault="00DA335C" w:rsidP="003E5B2A">
      <w:pPr>
        <w:pStyle w:val="Paragraphergulier"/>
      </w:pPr>
      <w:r>
        <w:t>À la suite de l’ex</w:t>
      </w:r>
      <w:r w:rsidR="00742D3A">
        <w:t>amen des avantages que procure</w:t>
      </w:r>
      <w:r>
        <w:t xml:space="preserve"> aux entreprises l’investissement dans la formation des employés, nous concluons que cette solution est appropriée pour aider Expertise Samson &amp; Milner à surmonter ses difficultés et nous recommandons en conséquence d’allouer une portion du budget à cette fin. </w:t>
      </w:r>
      <w:r w:rsidR="006D16FC">
        <w:t xml:space="preserve">En effet, la formation des employés permet d’accroitre leur motivation, d’améliorer l’ambiance de l’entreprise et de diminuer, par conséquent, le taux de roulement du personnel. Cela permet aussi d’offrir des possibilités d’avancement à des employés prometteurs et d’ainsi les préparer à devenir des directeurs compétents. Investir dans la formation des employés offre aussi l’avantage d’augmenter leur productivité et de les rendre plus autonomes. </w:t>
      </w:r>
      <w:r w:rsidR="00200A62">
        <w:t xml:space="preserve">Cette avenue permet par ailleurs de pallier les problèmes de méconnaissance des lois en vigueur et aide les salariés à mettre à jour leurs connaissances en matière de technologie. </w:t>
      </w:r>
      <w:r w:rsidR="006D16FC">
        <w:t xml:space="preserve">Tout cela concourt à amener l’équipe à proposer davantage de solutions innovantes et à offrir un service de qualité supérieure. </w:t>
      </w:r>
    </w:p>
    <w:p w:rsidR="00200A62" w:rsidRDefault="00200A62" w:rsidP="003E5B2A">
      <w:pPr>
        <w:pStyle w:val="Paragraphergulier"/>
      </w:pPr>
      <w:r>
        <w:t>Pour que l’investissement proposé à la firme porte fruit, il lui est nécessaire de se doter d’une politique pour encadrer les modalités de la formation continue des employés. Il lui faudra définir la fréquence à laquelle les salariés des différents secteurs devront mettre à jour leurs connaissances et le type de formation pour lequel la compagnie optera (formateurs externes, formations en ligne, etc.) Cette politique devra également préciser comment l’entreprise traitera les demandes de ses employés pour suivre des programmes spécifiques de formation à l’extérieur de l’entreprise. Ainsi, elle devra statuer sur le type de programme</w:t>
      </w:r>
      <w:r w:rsidR="00C2701C">
        <w:t>s</w:t>
      </w:r>
      <w:r>
        <w:t xml:space="preserve"> admissible</w:t>
      </w:r>
      <w:r w:rsidR="00C2701C">
        <w:t>s</w:t>
      </w:r>
      <w:r>
        <w:t xml:space="preserve"> et sur les modalités de remboursement des employés. Cette politique est nécessaire pour encadrer les activités de formation afin qu’elles soient véritablement bénéfiques pour tous.</w:t>
      </w:r>
    </w:p>
    <w:p w:rsidR="003E5B2A" w:rsidRPr="00FE1701" w:rsidRDefault="00C2701C" w:rsidP="00081CB7">
      <w:pPr>
        <w:pStyle w:val="Paragraphergulier"/>
      </w:pPr>
      <w:r>
        <w:t xml:space="preserve">Enfin, pour que la firme devienne un véritable milieu d’apprentissage, il ne suffit pas d’offrir des formations périodiquement, mais aussi de leur donner l’occasion de mettre en pratique les apprentissages réalisés. Ainsi, Expertise Samson &amp; Milner ne devrait pas hésiter à confier de nouvelles tâches aux employés, tout en les assistant dans leur réalisation. Il est par ailleurs indispensable de leur donner le droit à l’erreur, passage obligé de tout apprentissage. </w:t>
      </w:r>
    </w:p>
    <w:sectPr w:rsidR="003E5B2A" w:rsidRPr="00FE1701" w:rsidSect="006B5FCD">
      <w:pgSz w:w="12240" w:h="15840" w:code="1"/>
      <w:pgMar w:top="1418" w:right="1418" w:bottom="1418" w:left="1418" w:header="709" w:footer="709" w:gutter="7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5EF" w:rsidRDefault="00EC65EF" w:rsidP="00A12EDB">
      <w:pPr>
        <w:spacing w:after="0" w:line="240" w:lineRule="auto"/>
      </w:pPr>
      <w:r>
        <w:separator/>
      </w:r>
    </w:p>
  </w:endnote>
  <w:endnote w:type="continuationSeparator" w:id="0">
    <w:p w:rsidR="00EC65EF" w:rsidRDefault="00EC65EF" w:rsidP="00A1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42" w:rsidRDefault="007905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42" w:rsidRDefault="0079054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42" w:rsidRDefault="0079054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EDB" w:rsidRDefault="00A12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5EF" w:rsidRDefault="00EC65EF" w:rsidP="00A12EDB">
      <w:pPr>
        <w:spacing w:after="0" w:line="240" w:lineRule="auto"/>
      </w:pPr>
      <w:r>
        <w:separator/>
      </w:r>
    </w:p>
  </w:footnote>
  <w:footnote w:type="continuationSeparator" w:id="0">
    <w:p w:rsidR="00EC65EF" w:rsidRDefault="00EC65EF" w:rsidP="00A12EDB">
      <w:pPr>
        <w:spacing w:after="0" w:line="240" w:lineRule="auto"/>
      </w:pPr>
      <w:r>
        <w:continuationSeparator/>
      </w:r>
    </w:p>
  </w:footnote>
  <w:footnote w:id="1">
    <w:p w:rsidR="00BD0857" w:rsidRPr="00BD0857" w:rsidRDefault="00BD0857">
      <w:pPr>
        <w:pStyle w:val="Notedebasdepage"/>
        <w:rPr>
          <w:lang w:val="fr-CA"/>
        </w:rPr>
      </w:pPr>
      <w:r>
        <w:rPr>
          <w:rStyle w:val="Appelnotedebasdep"/>
        </w:rPr>
        <w:footnoteRef/>
      </w:r>
      <w:r w:rsidRPr="00BD0857">
        <w:rPr>
          <w:lang w:val="fr-CA"/>
        </w:rPr>
        <w:t xml:space="preserve"> </w:t>
      </w:r>
      <w:r>
        <w:rPr>
          <w:lang w:val="fr-CA"/>
        </w:rPr>
        <w:t>Cela représente environ 20 % des effectifs de l’entreprise.</w:t>
      </w:r>
    </w:p>
  </w:footnote>
  <w:footnote w:id="2">
    <w:p w:rsidR="00BD0857" w:rsidRPr="00BD0857" w:rsidRDefault="00BD0857">
      <w:pPr>
        <w:pStyle w:val="Notedebasdepage"/>
        <w:rPr>
          <w:lang w:val="fr-CA"/>
        </w:rPr>
      </w:pPr>
      <w:r>
        <w:rPr>
          <w:rStyle w:val="Appelnotedebasdep"/>
        </w:rPr>
        <w:footnoteRef/>
      </w:r>
      <w:r w:rsidRPr="00BD0857">
        <w:rPr>
          <w:lang w:val="fr-CA"/>
        </w:rPr>
        <w:t xml:space="preserve"> </w:t>
      </w:r>
      <w:r>
        <w:rPr>
          <w:lang w:val="fr-CA"/>
        </w:rPr>
        <w:t>Jonah SATO</w:t>
      </w:r>
      <w:r w:rsidR="001A6755">
        <w:rPr>
          <w:lang w:val="fr-CA"/>
        </w:rPr>
        <w:t>,</w:t>
      </w:r>
      <w:r>
        <w:rPr>
          <w:lang w:val="fr-CA"/>
        </w:rPr>
        <w:t xml:space="preserve"> « Les impacts d’un taux de roulement élevé sur le fonctionnement d’une entreprise », </w:t>
      </w:r>
      <w:r w:rsidRPr="00D26DD8">
        <w:rPr>
          <w:i/>
          <w:lang w:val="fr-CA"/>
        </w:rPr>
        <w:t>Gestion des entreprises</w:t>
      </w:r>
      <w:r>
        <w:rPr>
          <w:lang w:val="fr-CA"/>
        </w:rPr>
        <w:t>, vol. 18, n</w:t>
      </w:r>
      <w:r>
        <w:rPr>
          <w:rFonts w:cs="Times New Roman"/>
          <w:lang w:val="fr-CA"/>
        </w:rPr>
        <w:t>º</w:t>
      </w:r>
      <w:r w:rsidR="00B17E2B">
        <w:rPr>
          <w:rFonts w:cs="Times New Roman"/>
          <w:lang w:val="fr-CA"/>
        </w:rPr>
        <w:t xml:space="preserve"> </w:t>
      </w:r>
      <w:r>
        <w:rPr>
          <w:lang w:val="fr-CA"/>
        </w:rPr>
        <w:t>3, janvier 2018, p. 39.</w:t>
      </w:r>
    </w:p>
  </w:footnote>
  <w:footnote w:id="3">
    <w:p w:rsidR="00162160" w:rsidRPr="00162160" w:rsidRDefault="00162160">
      <w:pPr>
        <w:pStyle w:val="Notedebasdepage"/>
        <w:rPr>
          <w:lang w:val="fr-CA"/>
        </w:rPr>
      </w:pPr>
      <w:r>
        <w:rPr>
          <w:rStyle w:val="Appelnotedebasdep"/>
        </w:rPr>
        <w:footnoteRef/>
      </w:r>
      <w:r w:rsidRPr="00162160">
        <w:rPr>
          <w:lang w:val="fr-CA"/>
        </w:rPr>
        <w:t xml:space="preserve"> </w:t>
      </w:r>
      <w:r>
        <w:rPr>
          <w:lang w:val="fr-CA"/>
        </w:rPr>
        <w:t>Cela répondrait à un problème soulevé à plusieurs reprises par les associés.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42" w:rsidRDefault="007905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712479"/>
      <w:docPartObj>
        <w:docPartGallery w:val="Page Numbers (Top of Page)"/>
        <w:docPartUnique/>
      </w:docPartObj>
    </w:sdtPr>
    <w:sdtEndPr>
      <w:rPr>
        <w:rFonts w:cs="Times New Roman"/>
      </w:rPr>
    </w:sdtEndPr>
    <w:sdtContent>
      <w:p w:rsidR="00A12EDB" w:rsidRPr="00A12EDB" w:rsidRDefault="00A12EDB">
        <w:pPr>
          <w:pStyle w:val="En-tte"/>
          <w:jc w:val="right"/>
          <w:rPr>
            <w:rFonts w:cs="Times New Roman"/>
          </w:rPr>
        </w:pPr>
        <w:r w:rsidRPr="00A12EDB">
          <w:rPr>
            <w:rFonts w:cs="Times New Roman"/>
          </w:rPr>
          <w:fldChar w:fldCharType="begin"/>
        </w:r>
        <w:r w:rsidRPr="00A12EDB">
          <w:rPr>
            <w:rFonts w:cs="Times New Roman"/>
          </w:rPr>
          <w:instrText>PAGE   \* MERGEFORMAT</w:instrText>
        </w:r>
        <w:r w:rsidRPr="00A12EDB">
          <w:rPr>
            <w:rFonts w:cs="Times New Roman"/>
          </w:rPr>
          <w:fldChar w:fldCharType="separate"/>
        </w:r>
        <w:r w:rsidR="006103D0" w:rsidRPr="006103D0">
          <w:rPr>
            <w:rFonts w:cs="Times New Roman"/>
            <w:noProof/>
            <w:lang w:val="fr-FR"/>
          </w:rPr>
          <w:t>6</w:t>
        </w:r>
        <w:r w:rsidRPr="00A12EDB">
          <w:rPr>
            <w:rFonts w:cs="Times New Roman"/>
          </w:rPr>
          <w:fldChar w:fldCharType="end"/>
        </w:r>
      </w:p>
    </w:sdtContent>
  </w:sdt>
  <w:p w:rsidR="00A12EDB" w:rsidRDefault="00A12E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42" w:rsidRDefault="0079054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EDB" w:rsidRDefault="00A12E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4A4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503E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7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65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5CD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C24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A4F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8D6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89E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204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9029D0"/>
    <w:multiLevelType w:val="multilevel"/>
    <w:tmpl w:val="0E7E58B2"/>
    <w:styleLink w:val="ListeNum"/>
    <w:lvl w:ilvl="0">
      <w:start w:val="1"/>
      <w:numFmt w:val="decimal"/>
      <w:pStyle w:val="Titreniveau1"/>
      <w:lvlText w:val="%1."/>
      <w:lvlJc w:val="left"/>
      <w:pPr>
        <w:tabs>
          <w:tab w:val="num" w:pos="567"/>
        </w:tabs>
        <w:ind w:left="567" w:hanging="567"/>
      </w:pPr>
      <w:rPr>
        <w:rFonts w:hint="default"/>
      </w:rPr>
    </w:lvl>
    <w:lvl w:ilvl="1">
      <w:start w:val="1"/>
      <w:numFmt w:val="decimal"/>
      <w:pStyle w:val="Titreniveau2"/>
      <w:lvlText w:val="%1.%2."/>
      <w:lvlJc w:val="left"/>
      <w:pPr>
        <w:tabs>
          <w:tab w:val="num" w:pos="709"/>
        </w:tabs>
        <w:ind w:left="709" w:hanging="709"/>
      </w:pPr>
      <w:rPr>
        <w:rFonts w:hint="default"/>
      </w:rPr>
    </w:lvl>
    <w:lvl w:ilvl="2">
      <w:start w:val="1"/>
      <w:numFmt w:val="decimal"/>
      <w:pStyle w:val="Titreniveau3"/>
      <w:lvlText w:val="%1.%2.%3."/>
      <w:lvlJc w:val="left"/>
      <w:pPr>
        <w:tabs>
          <w:tab w:val="num" w:pos="1418"/>
        </w:tabs>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5D"/>
    <w:rsid w:val="00081CB7"/>
    <w:rsid w:val="00152614"/>
    <w:rsid w:val="0015462E"/>
    <w:rsid w:val="00162160"/>
    <w:rsid w:val="001A6755"/>
    <w:rsid w:val="001C7014"/>
    <w:rsid w:val="00200A62"/>
    <w:rsid w:val="0020555D"/>
    <w:rsid w:val="003B1FCB"/>
    <w:rsid w:val="003E5B2A"/>
    <w:rsid w:val="00437CD4"/>
    <w:rsid w:val="005D7D41"/>
    <w:rsid w:val="005E2819"/>
    <w:rsid w:val="00607991"/>
    <w:rsid w:val="006103D0"/>
    <w:rsid w:val="006107C6"/>
    <w:rsid w:val="00615652"/>
    <w:rsid w:val="006700DE"/>
    <w:rsid w:val="006A3FB2"/>
    <w:rsid w:val="006B5FCD"/>
    <w:rsid w:val="006D16FC"/>
    <w:rsid w:val="00742D3A"/>
    <w:rsid w:val="00762376"/>
    <w:rsid w:val="00790542"/>
    <w:rsid w:val="007D0D2B"/>
    <w:rsid w:val="00821009"/>
    <w:rsid w:val="0084078A"/>
    <w:rsid w:val="008B6991"/>
    <w:rsid w:val="008E7B41"/>
    <w:rsid w:val="009071A6"/>
    <w:rsid w:val="00963192"/>
    <w:rsid w:val="00A12EDB"/>
    <w:rsid w:val="00A332A9"/>
    <w:rsid w:val="00A51BBF"/>
    <w:rsid w:val="00AF4BBD"/>
    <w:rsid w:val="00B17E2B"/>
    <w:rsid w:val="00B36A3E"/>
    <w:rsid w:val="00B55D25"/>
    <w:rsid w:val="00BB57ED"/>
    <w:rsid w:val="00BD0857"/>
    <w:rsid w:val="00C2701C"/>
    <w:rsid w:val="00D26DD8"/>
    <w:rsid w:val="00D97F9D"/>
    <w:rsid w:val="00DA335C"/>
    <w:rsid w:val="00DC7C73"/>
    <w:rsid w:val="00DE00EA"/>
    <w:rsid w:val="00EB174D"/>
    <w:rsid w:val="00EC65EF"/>
    <w:rsid w:val="00EF1381"/>
    <w:rsid w:val="00FC319C"/>
    <w:rsid w:val="00FE17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A4A32-058B-4D61-B58A-9FFFD9D9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755"/>
    <w:rPr>
      <w:rFonts w:ascii="Times New Roman" w:hAnsi="Times New Roman"/>
      <w:sz w:val="24"/>
    </w:rPr>
  </w:style>
  <w:style w:type="paragraph" w:styleId="Titre1">
    <w:name w:val="heading 1"/>
    <w:basedOn w:val="Normal"/>
    <w:next w:val="Normal"/>
    <w:link w:val="Titre1Car"/>
    <w:uiPriority w:val="9"/>
    <w:qFormat/>
    <w:rsid w:val="00A33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33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332A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niveau3">
    <w:name w:val="Paragraphe niveau 3"/>
    <w:basedOn w:val="Normal"/>
    <w:qFormat/>
    <w:rsid w:val="006B5FCD"/>
    <w:pPr>
      <w:spacing w:before="120" w:after="120" w:line="480" w:lineRule="auto"/>
      <w:ind w:left="709" w:firstLine="709"/>
    </w:pPr>
    <w:rPr>
      <w:lang w:val="fr-CA"/>
    </w:rPr>
  </w:style>
  <w:style w:type="paragraph" w:customStyle="1" w:styleId="Paragraphergulier">
    <w:name w:val="Paragraphe régulier"/>
    <w:basedOn w:val="Normal"/>
    <w:qFormat/>
    <w:rsid w:val="006B5FCD"/>
    <w:pPr>
      <w:spacing w:before="120" w:after="120" w:line="480" w:lineRule="auto"/>
      <w:ind w:firstLine="709"/>
    </w:pPr>
    <w:rPr>
      <w:lang w:val="fr-CA"/>
    </w:rPr>
  </w:style>
  <w:style w:type="paragraph" w:customStyle="1" w:styleId="Titreniveau1">
    <w:name w:val="Titre niveau 1"/>
    <w:basedOn w:val="Normal"/>
    <w:next w:val="Paragraphergulier"/>
    <w:qFormat/>
    <w:rsid w:val="006103D0"/>
    <w:pPr>
      <w:numPr>
        <w:numId w:val="17"/>
      </w:numPr>
      <w:spacing w:after="360" w:line="240" w:lineRule="auto"/>
      <w:jc w:val="center"/>
      <w:outlineLvl w:val="0"/>
    </w:pPr>
    <w:rPr>
      <w:b/>
      <w:caps/>
      <w:lang w:val="fr-CA"/>
    </w:rPr>
  </w:style>
  <w:style w:type="paragraph" w:customStyle="1" w:styleId="Titreniveau2">
    <w:name w:val="Titre niveau 2"/>
    <w:basedOn w:val="Normal"/>
    <w:qFormat/>
    <w:rsid w:val="006103D0"/>
    <w:pPr>
      <w:keepNext/>
      <w:numPr>
        <w:ilvl w:val="1"/>
        <w:numId w:val="17"/>
      </w:numPr>
      <w:spacing w:after="360" w:line="240" w:lineRule="auto"/>
      <w:outlineLvl w:val="1"/>
    </w:pPr>
    <w:rPr>
      <w:b/>
      <w:lang w:val="fr-CA"/>
    </w:rPr>
  </w:style>
  <w:style w:type="paragraph" w:customStyle="1" w:styleId="Titreniveau3">
    <w:name w:val="Titre niveau 3"/>
    <w:basedOn w:val="Normal"/>
    <w:qFormat/>
    <w:rsid w:val="006103D0"/>
    <w:pPr>
      <w:keepNext/>
      <w:numPr>
        <w:ilvl w:val="2"/>
        <w:numId w:val="17"/>
      </w:numPr>
      <w:spacing w:after="360" w:line="240" w:lineRule="auto"/>
      <w:outlineLvl w:val="2"/>
    </w:pPr>
    <w:rPr>
      <w:i/>
      <w:lang w:val="fr-CA"/>
    </w:rPr>
  </w:style>
  <w:style w:type="paragraph" w:customStyle="1" w:styleId="TitreSection">
    <w:name w:val="Titre Section"/>
    <w:basedOn w:val="Normal"/>
    <w:next w:val="Paragraphergulier"/>
    <w:qFormat/>
    <w:rsid w:val="006B5FCD"/>
    <w:pPr>
      <w:spacing w:before="2160" w:after="360" w:line="240" w:lineRule="auto"/>
      <w:jc w:val="center"/>
      <w:outlineLvl w:val="0"/>
    </w:pPr>
    <w:rPr>
      <w:b/>
      <w:caps/>
      <w:sz w:val="28"/>
      <w:lang w:val="fr-CA"/>
    </w:rPr>
  </w:style>
  <w:style w:type="paragraph" w:styleId="TM1">
    <w:name w:val="toc 1"/>
    <w:basedOn w:val="Normal"/>
    <w:next w:val="Normal"/>
    <w:autoRedefine/>
    <w:uiPriority w:val="39"/>
    <w:unhideWhenUsed/>
    <w:rsid w:val="008E7B41"/>
    <w:pPr>
      <w:tabs>
        <w:tab w:val="left" w:pos="567"/>
        <w:tab w:val="right" w:leader="dot" w:pos="8647"/>
        <w:tab w:val="right" w:leader="dot" w:pos="8685"/>
      </w:tabs>
      <w:spacing w:after="240" w:line="240" w:lineRule="auto"/>
      <w:ind w:left="567" w:hanging="567"/>
    </w:pPr>
    <w:rPr>
      <w:b/>
      <w:bCs/>
      <w:caps/>
      <w:szCs w:val="20"/>
    </w:rPr>
  </w:style>
  <w:style w:type="paragraph" w:styleId="TM2">
    <w:name w:val="toc 2"/>
    <w:basedOn w:val="Normal"/>
    <w:next w:val="Normal"/>
    <w:autoRedefine/>
    <w:uiPriority w:val="39"/>
    <w:unhideWhenUsed/>
    <w:rsid w:val="00A332A9"/>
    <w:pPr>
      <w:tabs>
        <w:tab w:val="left" w:pos="1134"/>
        <w:tab w:val="right" w:leader="dot" w:pos="8647"/>
      </w:tabs>
      <w:spacing w:after="240" w:line="240" w:lineRule="auto"/>
      <w:ind w:left="1134" w:hanging="567"/>
    </w:pPr>
    <w:rPr>
      <w:smallCaps/>
      <w:szCs w:val="20"/>
    </w:rPr>
  </w:style>
  <w:style w:type="paragraph" w:styleId="TM3">
    <w:name w:val="toc 3"/>
    <w:basedOn w:val="Normal"/>
    <w:next w:val="Normal"/>
    <w:autoRedefine/>
    <w:uiPriority w:val="39"/>
    <w:unhideWhenUsed/>
    <w:rsid w:val="006B5FCD"/>
    <w:pPr>
      <w:spacing w:after="0"/>
      <w:ind w:left="440"/>
    </w:pPr>
    <w:rPr>
      <w:i/>
      <w:iCs/>
      <w:sz w:val="20"/>
      <w:szCs w:val="20"/>
    </w:rPr>
  </w:style>
  <w:style w:type="paragraph" w:styleId="En-tte">
    <w:name w:val="header"/>
    <w:basedOn w:val="Normal"/>
    <w:link w:val="En-tteCar"/>
    <w:uiPriority w:val="99"/>
    <w:unhideWhenUsed/>
    <w:rsid w:val="00A12EDB"/>
    <w:pPr>
      <w:tabs>
        <w:tab w:val="center" w:pos="4320"/>
        <w:tab w:val="right" w:pos="8640"/>
      </w:tabs>
      <w:spacing w:after="0" w:line="240" w:lineRule="auto"/>
    </w:pPr>
  </w:style>
  <w:style w:type="character" w:customStyle="1" w:styleId="En-tteCar">
    <w:name w:val="En-tête Car"/>
    <w:basedOn w:val="Policepardfaut"/>
    <w:link w:val="En-tte"/>
    <w:uiPriority w:val="99"/>
    <w:rsid w:val="00A12EDB"/>
  </w:style>
  <w:style w:type="paragraph" w:styleId="Pieddepage">
    <w:name w:val="footer"/>
    <w:basedOn w:val="Normal"/>
    <w:link w:val="PieddepageCar"/>
    <w:uiPriority w:val="99"/>
    <w:unhideWhenUsed/>
    <w:rsid w:val="00A12ED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12EDB"/>
  </w:style>
  <w:style w:type="character" w:customStyle="1" w:styleId="Titre1Car">
    <w:name w:val="Titre 1 Car"/>
    <w:basedOn w:val="Policepardfaut"/>
    <w:link w:val="Titre1"/>
    <w:uiPriority w:val="9"/>
    <w:rsid w:val="00A332A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A332A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A332A9"/>
    <w:rPr>
      <w:rFonts w:asciiTheme="majorHAnsi" w:eastAsiaTheme="majorEastAsia" w:hAnsiTheme="majorHAnsi" w:cstheme="majorBidi"/>
      <w:color w:val="1F4D78" w:themeColor="accent1" w:themeShade="7F"/>
      <w:sz w:val="24"/>
      <w:szCs w:val="24"/>
    </w:rPr>
  </w:style>
  <w:style w:type="paragraph" w:styleId="TM4">
    <w:name w:val="toc 4"/>
    <w:basedOn w:val="Normal"/>
    <w:next w:val="Normal"/>
    <w:autoRedefine/>
    <w:uiPriority w:val="39"/>
    <w:unhideWhenUsed/>
    <w:rsid w:val="00A332A9"/>
    <w:pPr>
      <w:spacing w:after="0"/>
      <w:ind w:left="660"/>
    </w:pPr>
    <w:rPr>
      <w:sz w:val="18"/>
      <w:szCs w:val="18"/>
    </w:rPr>
  </w:style>
  <w:style w:type="paragraph" w:styleId="TM5">
    <w:name w:val="toc 5"/>
    <w:basedOn w:val="Normal"/>
    <w:next w:val="Normal"/>
    <w:autoRedefine/>
    <w:uiPriority w:val="39"/>
    <w:unhideWhenUsed/>
    <w:rsid w:val="00A332A9"/>
    <w:pPr>
      <w:spacing w:after="0"/>
      <w:ind w:left="880"/>
    </w:pPr>
    <w:rPr>
      <w:sz w:val="18"/>
      <w:szCs w:val="18"/>
    </w:rPr>
  </w:style>
  <w:style w:type="paragraph" w:styleId="TM6">
    <w:name w:val="toc 6"/>
    <w:basedOn w:val="Normal"/>
    <w:next w:val="Normal"/>
    <w:autoRedefine/>
    <w:uiPriority w:val="39"/>
    <w:unhideWhenUsed/>
    <w:rsid w:val="00A332A9"/>
    <w:pPr>
      <w:spacing w:after="0"/>
      <w:ind w:left="1100"/>
    </w:pPr>
    <w:rPr>
      <w:sz w:val="18"/>
      <w:szCs w:val="18"/>
    </w:rPr>
  </w:style>
  <w:style w:type="paragraph" w:styleId="TM7">
    <w:name w:val="toc 7"/>
    <w:basedOn w:val="Normal"/>
    <w:next w:val="Normal"/>
    <w:autoRedefine/>
    <w:uiPriority w:val="39"/>
    <w:unhideWhenUsed/>
    <w:rsid w:val="00A332A9"/>
    <w:pPr>
      <w:spacing w:after="0"/>
      <w:ind w:left="1320"/>
    </w:pPr>
    <w:rPr>
      <w:sz w:val="18"/>
      <w:szCs w:val="18"/>
    </w:rPr>
  </w:style>
  <w:style w:type="paragraph" w:styleId="TM8">
    <w:name w:val="toc 8"/>
    <w:basedOn w:val="Normal"/>
    <w:next w:val="Normal"/>
    <w:autoRedefine/>
    <w:uiPriority w:val="39"/>
    <w:unhideWhenUsed/>
    <w:rsid w:val="00A332A9"/>
    <w:pPr>
      <w:spacing w:after="0"/>
      <w:ind w:left="1540"/>
    </w:pPr>
    <w:rPr>
      <w:sz w:val="18"/>
      <w:szCs w:val="18"/>
    </w:rPr>
  </w:style>
  <w:style w:type="paragraph" w:styleId="TM9">
    <w:name w:val="toc 9"/>
    <w:basedOn w:val="Normal"/>
    <w:next w:val="Normal"/>
    <w:autoRedefine/>
    <w:uiPriority w:val="39"/>
    <w:unhideWhenUsed/>
    <w:rsid w:val="00A332A9"/>
    <w:pPr>
      <w:spacing w:after="0"/>
      <w:ind w:left="1760"/>
    </w:pPr>
    <w:rPr>
      <w:sz w:val="18"/>
      <w:szCs w:val="18"/>
    </w:rPr>
  </w:style>
  <w:style w:type="character" w:styleId="Lienhypertexte">
    <w:name w:val="Hyperlink"/>
    <w:basedOn w:val="Policepardfaut"/>
    <w:uiPriority w:val="99"/>
    <w:unhideWhenUsed/>
    <w:rsid w:val="00A332A9"/>
    <w:rPr>
      <w:color w:val="0563C1" w:themeColor="hyperlink"/>
      <w:u w:val="single"/>
    </w:rPr>
  </w:style>
  <w:style w:type="numbering" w:customStyle="1" w:styleId="ListeNum">
    <w:name w:val="ListeNum"/>
    <w:uiPriority w:val="99"/>
    <w:rsid w:val="006103D0"/>
    <w:pPr>
      <w:numPr>
        <w:numId w:val="11"/>
      </w:numPr>
    </w:pPr>
  </w:style>
  <w:style w:type="paragraph" w:styleId="Notedefin">
    <w:name w:val="endnote text"/>
    <w:basedOn w:val="Normal"/>
    <w:link w:val="NotedefinCar"/>
    <w:uiPriority w:val="99"/>
    <w:semiHidden/>
    <w:unhideWhenUsed/>
    <w:rsid w:val="00BD0857"/>
    <w:pPr>
      <w:spacing w:after="0" w:line="240" w:lineRule="auto"/>
    </w:pPr>
    <w:rPr>
      <w:sz w:val="20"/>
      <w:szCs w:val="20"/>
    </w:rPr>
  </w:style>
  <w:style w:type="character" w:customStyle="1" w:styleId="NotedefinCar">
    <w:name w:val="Note de fin Car"/>
    <w:basedOn w:val="Policepardfaut"/>
    <w:link w:val="Notedefin"/>
    <w:uiPriority w:val="99"/>
    <w:semiHidden/>
    <w:rsid w:val="00BD0857"/>
    <w:rPr>
      <w:sz w:val="20"/>
      <w:szCs w:val="20"/>
    </w:rPr>
  </w:style>
  <w:style w:type="character" w:styleId="Appeldenotedefin">
    <w:name w:val="endnote reference"/>
    <w:basedOn w:val="Policepardfaut"/>
    <w:uiPriority w:val="99"/>
    <w:semiHidden/>
    <w:unhideWhenUsed/>
    <w:rsid w:val="00BD0857"/>
    <w:rPr>
      <w:vertAlign w:val="superscript"/>
    </w:rPr>
  </w:style>
  <w:style w:type="paragraph" w:styleId="Notedebasdepage">
    <w:name w:val="footnote text"/>
    <w:basedOn w:val="Normal"/>
    <w:link w:val="NotedebasdepageCar"/>
    <w:uiPriority w:val="99"/>
    <w:semiHidden/>
    <w:unhideWhenUsed/>
    <w:rsid w:val="00BD085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0857"/>
    <w:rPr>
      <w:sz w:val="20"/>
      <w:szCs w:val="20"/>
    </w:rPr>
  </w:style>
  <w:style w:type="character" w:styleId="Appelnotedebasdep">
    <w:name w:val="footnote reference"/>
    <w:basedOn w:val="Policepardfaut"/>
    <w:uiPriority w:val="99"/>
    <w:semiHidden/>
    <w:unhideWhenUsed/>
    <w:rsid w:val="00BD08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37EB-EF3D-4A5A-92E8-379E4D14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1838</Words>
  <Characters>10114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Stella Gardonio</cp:lastModifiedBy>
  <cp:revision>7</cp:revision>
  <dcterms:created xsi:type="dcterms:W3CDTF">2019-05-22T20:47:00Z</dcterms:created>
  <dcterms:modified xsi:type="dcterms:W3CDTF">2019-05-23T12:51:00Z</dcterms:modified>
</cp:coreProperties>
</file>