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24046" w14:textId="77777777" w:rsidR="00F93D82" w:rsidRDefault="00F93D82" w:rsidP="00F93D82">
      <w:pPr>
        <w:spacing w:before="120" w:after="240"/>
        <w:rPr>
          <w:rFonts w:ascii="Arial" w:hAnsi="Arial" w:cs="Arial"/>
          <w:b/>
          <w:bCs/>
          <w:sz w:val="36"/>
        </w:rPr>
      </w:pPr>
      <w:bookmarkStart w:id="0" w:name="_Toc368820443"/>
      <w:bookmarkStart w:id="1" w:name="_Toc368820498"/>
      <w:bookmarkStart w:id="2" w:name="_Toc368820539"/>
      <w:bookmarkStart w:id="3" w:name="_Toc368820618"/>
      <w:bookmarkStart w:id="4" w:name="_Toc368821250"/>
      <w:bookmarkStart w:id="5" w:name="_Toc385125977"/>
      <w:r>
        <w:rPr>
          <w:rFonts w:ascii="Arial" w:hAnsi="Arial" w:cs="Arial"/>
          <w:b/>
          <w:bCs/>
          <w:sz w:val="36"/>
        </w:rPr>
        <w:t>Familles de caractères</w:t>
      </w:r>
      <w:bookmarkEnd w:id="0"/>
      <w:bookmarkEnd w:id="1"/>
      <w:bookmarkEnd w:id="2"/>
      <w:bookmarkEnd w:id="3"/>
      <w:bookmarkEnd w:id="4"/>
      <w:bookmarkEnd w:id="5"/>
    </w:p>
    <w:p w14:paraId="33C8A14F" w14:textId="77777777" w:rsidR="00F93D82" w:rsidRDefault="00F93D82" w:rsidP="00F93D82">
      <w:pPr>
        <w:spacing w:after="120"/>
        <w:ind w:left="709"/>
      </w:pPr>
      <w:r>
        <w:t>Un des éléments les plus distinctifs d’un document est la nature des caractères utilisés. Les caractères sont la représentation visuelle de votre message verbal.</w:t>
      </w:r>
    </w:p>
    <w:p w14:paraId="32E13269" w14:textId="77777777" w:rsidR="00F93D82" w:rsidRDefault="00F93D82" w:rsidP="00F93D82">
      <w:pPr>
        <w:spacing w:after="120"/>
        <w:ind w:left="709"/>
      </w:pPr>
      <w:r>
        <w:t>Une famille de caractères est un ensemble de lettres, de chiffres et de symboles caractérisés par un style précis. Il existe aujourd’hui des centaines de familles de caractères qui portent généralement le nom de leur créateur ou inventeur.</w:t>
      </w:r>
    </w:p>
    <w:p w14:paraId="0457B067" w14:textId="77777777" w:rsidR="00F93D82" w:rsidRDefault="00F93D82" w:rsidP="00453771">
      <w:pPr>
        <w:spacing w:after="120"/>
        <w:ind w:left="709"/>
      </w:pPr>
      <w:r>
        <w:t>Une famille de caractères représente un style ou un graphisme particulier (ex. :</w:t>
      </w:r>
      <w:r w:rsidR="00F677DC">
        <w:t xml:space="preserve"> </w:t>
      </w:r>
      <w:r>
        <w:rPr>
          <w:rFonts w:ascii="Arial" w:hAnsi="Arial"/>
        </w:rPr>
        <w:t>Arial</w:t>
      </w:r>
      <w:r>
        <w:t>), alors que le terme police</w:t>
      </w:r>
      <w:r w:rsidR="00A9250B">
        <w:rPr>
          <w:rStyle w:val="Appelnotedebasdep"/>
        </w:rPr>
        <w:footnoteReference w:id="1"/>
      </w:r>
      <w:r>
        <w:t xml:space="preserve"> identifie une famille de caractères de façon encore plus précise, par exemple, </w:t>
      </w:r>
      <w:r>
        <w:rPr>
          <w:rFonts w:ascii="Arial Black" w:hAnsi="Arial Black"/>
        </w:rPr>
        <w:t>Arial Black</w:t>
      </w:r>
      <w:r>
        <w:t xml:space="preserve">, </w:t>
      </w:r>
      <w:r>
        <w:rPr>
          <w:rFonts w:ascii="Arial Narrow" w:hAnsi="Arial Narrow"/>
        </w:rPr>
        <w:t>Arial Narrow</w:t>
      </w:r>
      <w:r>
        <w:t xml:space="preserve"> et </w:t>
      </w:r>
      <w:r>
        <w:rPr>
          <w:rFonts w:ascii="Arial Rounded MT Bold" w:hAnsi="Arial Rounded MT Bold"/>
        </w:rPr>
        <w:t>Arial Rounded MT Bold</w:t>
      </w:r>
      <w:r>
        <w:t>.</w:t>
      </w:r>
    </w:p>
    <w:p w14:paraId="3317131F" w14:textId="77777777" w:rsidR="00F93D82" w:rsidRDefault="00F93D82" w:rsidP="00453771">
      <w:pPr>
        <w:spacing w:before="480" w:after="240"/>
      </w:pPr>
      <w:bookmarkStart w:id="6" w:name="_Toc368820444"/>
      <w:bookmarkStart w:id="7" w:name="_Toc368820499"/>
      <w:bookmarkStart w:id="8" w:name="_Toc368820540"/>
      <w:bookmarkStart w:id="9" w:name="_Toc368820619"/>
      <w:bookmarkStart w:id="10" w:name="_Toc368821251"/>
      <w:bookmarkStart w:id="11" w:name="_Toc385125978"/>
      <w:r>
        <w:rPr>
          <w:rFonts w:ascii="Arial" w:hAnsi="Arial" w:cs="Arial"/>
          <w:b/>
          <w:bCs/>
          <w:sz w:val="36"/>
        </w:rPr>
        <w:t>Taille de la police</w:t>
      </w:r>
      <w:bookmarkEnd w:id="6"/>
      <w:bookmarkEnd w:id="7"/>
      <w:bookmarkEnd w:id="8"/>
      <w:bookmarkEnd w:id="9"/>
      <w:bookmarkEnd w:id="10"/>
      <w:bookmarkEnd w:id="11"/>
    </w:p>
    <w:p w14:paraId="17454C7A" w14:textId="77777777" w:rsidR="00F93D82" w:rsidRDefault="00F93D82" w:rsidP="00F93D82">
      <w:pPr>
        <w:spacing w:after="120"/>
        <w:ind w:left="709"/>
      </w:pPr>
      <w:r>
        <w:t>La taille d’une police est définie par la hauteur du caractère qui se mesure à partir du haut du plus long jambage supérieur jusqu’au bas du plus long jambage inférieur. La valeur est donnée en points, où 28,5 points équivalent à un centimètre (72 points équivalent à un pouce). Le texte d’une lettre ou d’un rapport est généralement produit en 10 ou en 12 points. Le présent texte est en 12 points.</w:t>
      </w:r>
    </w:p>
    <w:p w14:paraId="5893B158" w14:textId="77777777" w:rsidR="00F93D82" w:rsidRDefault="00F93D82" w:rsidP="00F93D82">
      <w:pPr>
        <w:spacing w:after="120"/>
        <w:ind w:left="709"/>
      </w:pPr>
      <w:r>
        <w:t>Différentes familles de caractères de même taille n’auront pas nécessairement la même taille réelle à cause des différentes hauteurs de jambage. C’est le cas des caractères sans empattement où les jambages supérieurs et inférieurs sont petits alors que la hauteur « x » est grande.</w:t>
      </w:r>
    </w:p>
    <w:p w14:paraId="350772AF" w14:textId="77777777" w:rsidR="00F93D82" w:rsidRDefault="00F93D82" w:rsidP="00453771">
      <w:pPr>
        <w:spacing w:before="480" w:after="240"/>
        <w:rPr>
          <w:rFonts w:ascii="Arial" w:hAnsi="Arial" w:cs="Arial"/>
          <w:b/>
          <w:bCs/>
          <w:sz w:val="36"/>
        </w:rPr>
      </w:pPr>
      <w:bookmarkStart w:id="12" w:name="_Toc368820445"/>
      <w:bookmarkStart w:id="13" w:name="_Toc368820500"/>
      <w:bookmarkStart w:id="14" w:name="_Toc368820541"/>
      <w:bookmarkStart w:id="15" w:name="_Toc368820620"/>
      <w:bookmarkStart w:id="16" w:name="_Toc368821252"/>
      <w:bookmarkStart w:id="17" w:name="_Toc385125979"/>
      <w:r>
        <w:rPr>
          <w:rFonts w:ascii="Arial" w:hAnsi="Arial" w:cs="Arial"/>
          <w:b/>
          <w:bCs/>
          <w:sz w:val="36"/>
        </w:rPr>
        <w:t>Style de la police</w:t>
      </w:r>
      <w:bookmarkEnd w:id="12"/>
      <w:bookmarkEnd w:id="13"/>
      <w:bookmarkEnd w:id="14"/>
      <w:bookmarkEnd w:id="15"/>
      <w:bookmarkEnd w:id="16"/>
      <w:bookmarkEnd w:id="17"/>
    </w:p>
    <w:p w14:paraId="79C764C2" w14:textId="77777777" w:rsidR="00F93D82" w:rsidRDefault="00F93D82" w:rsidP="00F93D82">
      <w:pPr>
        <w:spacing w:after="120"/>
        <w:ind w:left="709"/>
      </w:pPr>
      <w:r>
        <w:t>Le style d’une police est une variante esthétique de la police qui permet de produire un effet de contraste ou de mettre du texte en évidence. Les options offertes sont</w:t>
      </w:r>
      <w:r w:rsidR="00F677DC">
        <w:t> </w:t>
      </w:r>
      <w:r>
        <w:t>: normal, gras, italique et gras italique.</w:t>
      </w:r>
    </w:p>
    <w:p w14:paraId="717167BA" w14:textId="77777777" w:rsidR="00F93D82" w:rsidRDefault="00F93D82" w:rsidP="00453771">
      <w:pPr>
        <w:spacing w:before="480" w:after="240"/>
        <w:rPr>
          <w:rFonts w:ascii="Arial" w:hAnsi="Arial" w:cs="Arial"/>
          <w:b/>
          <w:bCs/>
          <w:sz w:val="36"/>
        </w:rPr>
      </w:pPr>
      <w:bookmarkStart w:id="18" w:name="_Toc368820446"/>
      <w:bookmarkStart w:id="19" w:name="_Toc368820501"/>
      <w:bookmarkStart w:id="20" w:name="_Toc368820542"/>
      <w:bookmarkStart w:id="21" w:name="_Toc368820621"/>
      <w:bookmarkStart w:id="22" w:name="_Toc368821253"/>
      <w:bookmarkStart w:id="23" w:name="_Toc385125980"/>
      <w:r>
        <w:rPr>
          <w:rFonts w:ascii="Arial" w:hAnsi="Arial" w:cs="Arial"/>
          <w:b/>
          <w:bCs/>
          <w:sz w:val="36"/>
        </w:rPr>
        <w:t>Couleur du texte</w:t>
      </w:r>
      <w:bookmarkEnd w:id="18"/>
      <w:bookmarkEnd w:id="19"/>
      <w:bookmarkEnd w:id="20"/>
      <w:bookmarkEnd w:id="21"/>
      <w:bookmarkEnd w:id="22"/>
      <w:bookmarkEnd w:id="23"/>
    </w:p>
    <w:p w14:paraId="26A53126" w14:textId="77777777" w:rsidR="00F93D82" w:rsidRDefault="00F93D82" w:rsidP="00F93D82">
      <w:pPr>
        <w:spacing w:after="120"/>
        <w:ind w:left="709"/>
      </w:pPr>
      <w:r>
        <w:t xml:space="preserve">L’option de couleur vous permet de changer la couleur ou les tons de gris de votre texte. Il va sans dire que vous devez posséder une imprimante couleur pour profiter de la fonction couleur. Toutefois avec une imprimante en noir et blanc, les polices de caractères peuvent être ombragées en modifiant les tons de gris. En général, les caractères ombragés sont combinés avec une trame de </w:t>
      </w:r>
      <w:r>
        <w:lastRenderedPageBreak/>
        <w:t>fond inversée ou également ombragée. Un texte blanc sur un arrière-plan inversé est très frappant.</w:t>
      </w:r>
    </w:p>
    <w:p w14:paraId="2A5B4BE8" w14:textId="77777777" w:rsidR="00F93D82" w:rsidRDefault="00F93D82" w:rsidP="007E6736">
      <w:pPr>
        <w:keepNext/>
        <w:spacing w:before="120" w:after="240"/>
        <w:rPr>
          <w:rFonts w:ascii="Arial" w:hAnsi="Arial" w:cs="Arial"/>
          <w:b/>
          <w:bCs/>
          <w:sz w:val="36"/>
        </w:rPr>
      </w:pPr>
      <w:bookmarkStart w:id="24" w:name="_Toc368820447"/>
      <w:bookmarkStart w:id="25" w:name="_Toc368820502"/>
      <w:bookmarkStart w:id="26" w:name="_Toc368820543"/>
      <w:bookmarkStart w:id="27" w:name="_Toc368820622"/>
      <w:bookmarkStart w:id="28" w:name="_Toc368821254"/>
      <w:bookmarkStart w:id="29" w:name="_Toc385125981"/>
      <w:r>
        <w:rPr>
          <w:rFonts w:ascii="Arial" w:hAnsi="Arial" w:cs="Arial"/>
          <w:b/>
          <w:bCs/>
          <w:sz w:val="36"/>
        </w:rPr>
        <w:t>Caractères en exposant</w:t>
      </w:r>
      <w:bookmarkEnd w:id="24"/>
      <w:bookmarkEnd w:id="25"/>
      <w:bookmarkEnd w:id="26"/>
      <w:bookmarkEnd w:id="27"/>
      <w:bookmarkEnd w:id="28"/>
      <w:bookmarkEnd w:id="29"/>
    </w:p>
    <w:p w14:paraId="0B7BD99A" w14:textId="77777777" w:rsidR="00F93D82" w:rsidRDefault="00F93D82" w:rsidP="00F93D82">
      <w:pPr>
        <w:spacing w:after="120"/>
        <w:ind w:left="709"/>
      </w:pPr>
      <w:r>
        <w:t>Dans la publicité commerciale, il peut arriver que les symboles d’unité monétaire, $ et ¢ soient positionnés en exposant. Dans ces cas, l’accent est mis sur le montant plutôt que sur le symbole d’unité monétaire.</w:t>
      </w:r>
    </w:p>
    <w:p w14:paraId="2957A603" w14:textId="77777777" w:rsidR="00F93D82" w:rsidRDefault="00F93D82" w:rsidP="00453771">
      <w:pPr>
        <w:spacing w:before="480" w:after="240"/>
        <w:rPr>
          <w:rFonts w:ascii="Arial" w:hAnsi="Arial" w:cs="Arial"/>
          <w:b/>
          <w:bCs/>
          <w:sz w:val="36"/>
        </w:rPr>
      </w:pPr>
      <w:bookmarkStart w:id="30" w:name="_Toc368820448"/>
      <w:bookmarkStart w:id="31" w:name="_Toc368820503"/>
      <w:bookmarkStart w:id="32" w:name="_Toc368820544"/>
      <w:bookmarkStart w:id="33" w:name="_Toc368820623"/>
      <w:bookmarkStart w:id="34" w:name="_Toc368821255"/>
      <w:bookmarkStart w:id="35" w:name="_Toc385125982"/>
      <w:r>
        <w:rPr>
          <w:rFonts w:ascii="Arial" w:hAnsi="Arial" w:cs="Arial"/>
          <w:b/>
          <w:bCs/>
          <w:sz w:val="36"/>
        </w:rPr>
        <w:t>Alignement du texte</w:t>
      </w:r>
      <w:bookmarkEnd w:id="30"/>
      <w:bookmarkEnd w:id="31"/>
      <w:bookmarkEnd w:id="32"/>
      <w:bookmarkEnd w:id="33"/>
      <w:bookmarkEnd w:id="34"/>
      <w:bookmarkEnd w:id="35"/>
    </w:p>
    <w:p w14:paraId="22889C5B" w14:textId="77777777" w:rsidR="00F93D82" w:rsidRDefault="00F93D82" w:rsidP="00F93D82">
      <w:pPr>
        <w:spacing w:after="120"/>
        <w:ind w:left="709"/>
      </w:pPr>
      <w:r>
        <w:t>L’alignement du texte, ou justification, fait référence à la disposition des paragraphes par rapport aux marges gauche et droite de la page. Word offre les options d’alignement suivantes</w:t>
      </w:r>
      <w:r w:rsidR="00F677DC">
        <w:t> </w:t>
      </w:r>
      <w:r>
        <w:t>: Gauche, Droite, Centré et Justifié.</w:t>
      </w:r>
    </w:p>
    <w:p w14:paraId="6DE30BAC" w14:textId="77777777" w:rsidR="00F93D82" w:rsidRDefault="00F93D82" w:rsidP="00453771">
      <w:pPr>
        <w:spacing w:before="480" w:after="240"/>
        <w:rPr>
          <w:rFonts w:ascii="Arial" w:hAnsi="Arial" w:cs="Arial"/>
          <w:b/>
          <w:bCs/>
          <w:sz w:val="36"/>
        </w:rPr>
      </w:pPr>
      <w:bookmarkStart w:id="36" w:name="_Toc368820449"/>
      <w:bookmarkStart w:id="37" w:name="_Toc368820504"/>
      <w:bookmarkStart w:id="38" w:name="_Toc368820545"/>
      <w:bookmarkStart w:id="39" w:name="_Toc368820624"/>
      <w:bookmarkStart w:id="40" w:name="_Toc368821256"/>
      <w:bookmarkStart w:id="41" w:name="_Toc385125983"/>
      <w:r>
        <w:rPr>
          <w:rFonts w:ascii="Arial" w:hAnsi="Arial" w:cs="Arial"/>
          <w:b/>
          <w:bCs/>
          <w:sz w:val="36"/>
        </w:rPr>
        <w:t>Insertion de retraits</w:t>
      </w:r>
      <w:bookmarkEnd w:id="36"/>
      <w:bookmarkEnd w:id="37"/>
      <w:bookmarkEnd w:id="38"/>
      <w:bookmarkEnd w:id="39"/>
      <w:bookmarkEnd w:id="40"/>
      <w:bookmarkEnd w:id="41"/>
    </w:p>
    <w:p w14:paraId="3A43C3AA" w14:textId="77777777" w:rsidR="00F93D82" w:rsidRDefault="00F93D82" w:rsidP="00F93D82">
      <w:pPr>
        <w:spacing w:after="120"/>
        <w:ind w:left="709"/>
      </w:pPr>
      <w:r>
        <w:t>L’utilisation des retraits est un autre moyen de gérer l’espace sur une page. Un retrait de paragraphe crée une marge temporaire à la position du taquet de tabulation.</w:t>
      </w:r>
    </w:p>
    <w:p w14:paraId="54B6261A" w14:textId="77777777" w:rsidR="00F93D82" w:rsidRDefault="00F93D82" w:rsidP="00F93D82">
      <w:pPr>
        <w:spacing w:after="120"/>
        <w:ind w:left="709"/>
      </w:pPr>
      <w:r>
        <w:t>Le retrait de première ligne d’un paragraphe est traditionnellement utilisé pour des textes disposés en format d’une colonne (c’est-à-dire qui vont d’un côté à l’autre de la page). Toutefois, dans le monde moderne des affaires, le retrait de première ligne d’un paragraphe n’est plus utilisé dans la mise en page (tout comme pour le présent manuel). Dans le cas d’un texte disposé en colonnes multiples, l’emploi du retrait de première ligne devient une question de choix personnel.</w:t>
      </w:r>
    </w:p>
    <w:p w14:paraId="6AE08903" w14:textId="77777777" w:rsidR="00F93D82" w:rsidRDefault="00F93D82" w:rsidP="00453771">
      <w:pPr>
        <w:spacing w:before="480" w:after="240"/>
        <w:rPr>
          <w:rFonts w:ascii="Arial" w:hAnsi="Arial" w:cs="Arial"/>
          <w:b/>
          <w:bCs/>
          <w:sz w:val="36"/>
        </w:rPr>
      </w:pPr>
      <w:bookmarkStart w:id="42" w:name="_Toc368820450"/>
      <w:bookmarkStart w:id="43" w:name="_Toc368820505"/>
      <w:bookmarkStart w:id="44" w:name="_Toc368820546"/>
      <w:bookmarkStart w:id="45" w:name="_Toc368820625"/>
      <w:bookmarkStart w:id="46" w:name="_Toc368821257"/>
      <w:bookmarkStart w:id="47" w:name="_Toc385125984"/>
      <w:r>
        <w:rPr>
          <w:rFonts w:ascii="Arial" w:hAnsi="Arial" w:cs="Arial"/>
          <w:b/>
          <w:bCs/>
          <w:sz w:val="36"/>
        </w:rPr>
        <w:t>Utilisation du crénage</w:t>
      </w:r>
      <w:bookmarkEnd w:id="42"/>
      <w:bookmarkEnd w:id="43"/>
      <w:bookmarkEnd w:id="44"/>
      <w:bookmarkEnd w:id="45"/>
      <w:bookmarkEnd w:id="46"/>
      <w:bookmarkEnd w:id="47"/>
    </w:p>
    <w:p w14:paraId="42F52290" w14:textId="77777777" w:rsidR="00F93D82" w:rsidRDefault="00F93D82" w:rsidP="00F93D82">
      <w:pPr>
        <w:spacing w:after="120"/>
        <w:ind w:left="709"/>
      </w:pPr>
      <w:r>
        <w:t>Avec les polices TrueType, l’espace occupé par chaque lettre est déterminé par la taille réelle de la lettre. Par exemple, la lettre W prend plus d’espace que la lettre I. C’est ce qu’on appelle l’espacement proportionnel. Cependant, certains regroupements de lettres, comme T, W ou P, combinés avec A, a, e, i, o ou u, semblent laisser trop d’espace entre les lettres, ce qui nuit à l’impact visuel du texte.</w:t>
      </w:r>
    </w:p>
    <w:p w14:paraId="513BCC7F" w14:textId="77777777" w:rsidR="00F93D82" w:rsidRDefault="00F93D82" w:rsidP="00F93D82">
      <w:pPr>
        <w:spacing w:after="120"/>
        <w:ind w:left="709"/>
      </w:pPr>
      <w:r>
        <w:t>Le crénage</w:t>
      </w:r>
      <w:r>
        <w:rPr>
          <w:rStyle w:val="Appelnotedebasdep"/>
        </w:rPr>
        <w:footnoteReference w:id="2"/>
      </w:r>
      <w:r>
        <w:t xml:space="preserve"> élimine ce problème visuel en réduisant ou en augmentant l’espace entre les paires de lettres. Cette fonction est particulièrement utile pour les </w:t>
      </w:r>
      <w:r w:rsidR="004D1745">
        <w:t>entêtes</w:t>
      </w:r>
      <w:r>
        <w:t>, où l’espacement est plus apparent. Le crénage permet de créer des effets spéciaux.</w:t>
      </w:r>
    </w:p>
    <w:p w14:paraId="7E210A56" w14:textId="77777777" w:rsidR="00F93D82" w:rsidRDefault="00F93D82" w:rsidP="00EF28FD">
      <w:pPr>
        <w:keepNext/>
        <w:pageBreakBefore/>
        <w:spacing w:before="120" w:after="240"/>
        <w:rPr>
          <w:rFonts w:ascii="Arial" w:hAnsi="Arial" w:cs="Arial"/>
          <w:b/>
          <w:bCs/>
          <w:sz w:val="36"/>
        </w:rPr>
      </w:pPr>
      <w:bookmarkStart w:id="48" w:name="_Toc368820451"/>
      <w:bookmarkStart w:id="49" w:name="_Toc368820506"/>
      <w:bookmarkStart w:id="50" w:name="_Toc368820547"/>
      <w:bookmarkStart w:id="51" w:name="_Toc368820626"/>
      <w:bookmarkStart w:id="52" w:name="_Toc368821258"/>
      <w:bookmarkStart w:id="53" w:name="_Toc385125985"/>
      <w:r>
        <w:rPr>
          <w:rFonts w:ascii="Arial" w:hAnsi="Arial" w:cs="Arial"/>
          <w:b/>
          <w:bCs/>
          <w:sz w:val="36"/>
        </w:rPr>
        <w:t>Interlignage</w:t>
      </w:r>
      <w:bookmarkEnd w:id="48"/>
      <w:bookmarkEnd w:id="49"/>
      <w:bookmarkEnd w:id="50"/>
      <w:bookmarkEnd w:id="51"/>
      <w:bookmarkEnd w:id="52"/>
      <w:bookmarkEnd w:id="53"/>
    </w:p>
    <w:p w14:paraId="54967C27" w14:textId="77777777" w:rsidR="00F93D82" w:rsidRDefault="00F93D82" w:rsidP="00F93D82">
      <w:pPr>
        <w:spacing w:after="120"/>
        <w:ind w:left="709"/>
      </w:pPr>
      <w:r>
        <w:t>L’interligne</w:t>
      </w:r>
      <w:r>
        <w:rPr>
          <w:rStyle w:val="Appelnotedebasdep"/>
        </w:rPr>
        <w:footnoteReference w:id="3"/>
      </w:r>
      <w:r>
        <w:t>, ou espacement entre les lignes, se mesure à partir du bas d’une ligne jusqu’au bas de la ligne suivante. Cette distance est généralement 20</w:t>
      </w:r>
      <w:r w:rsidR="00F677DC">
        <w:t> </w:t>
      </w:r>
      <w:r>
        <w:t>% supérieure à la taille de la police. Ainsi, pour un texte en 12 points, l’interligne est de 14 points; pour un texte en 36 points</w:t>
      </w:r>
      <w:r w:rsidR="004D1745">
        <w:t>, l’espace est de 42 points (42 </w:t>
      </w:r>
      <w:r>
        <w:t>points équivalant à 1,47</w:t>
      </w:r>
      <w:r w:rsidR="00F677DC">
        <w:t> </w:t>
      </w:r>
      <w:r>
        <w:t>cm pui</w:t>
      </w:r>
      <w:r w:rsidR="004D1745">
        <w:t>sque 28,5 points équivalent à 1 </w:t>
      </w:r>
      <w:r>
        <w:t>centimètre).</w:t>
      </w:r>
    </w:p>
    <w:p w14:paraId="2C25C833" w14:textId="77777777" w:rsidR="002F5386" w:rsidRPr="00AC681C" w:rsidRDefault="00F93D82" w:rsidP="004D1745">
      <w:pPr>
        <w:spacing w:after="120"/>
        <w:ind w:left="709"/>
      </w:pPr>
      <w:r>
        <w:t>L’interligne par défaut est généralement appr</w:t>
      </w:r>
      <w:r w:rsidR="004D1745">
        <w:t>oprié pour du texte en 10 ou 12 </w:t>
      </w:r>
      <w:r>
        <w:t xml:space="preserve">points. Réduisez l’interlignage des </w:t>
      </w:r>
      <w:r w:rsidR="004D1745">
        <w:t>entêtes</w:t>
      </w:r>
      <w:r>
        <w:t xml:space="preserve"> pour créer un effet visuel d’ensemble.</w:t>
      </w:r>
    </w:p>
    <w:sectPr w:rsidR="002F5386" w:rsidRPr="00AC681C" w:rsidSect="00214F2B">
      <w:headerReference w:type="even" r:id="rId7"/>
      <w:headerReference w:type="default" r:id="rId8"/>
      <w:footerReference w:type="even" r:id="rId9"/>
      <w:footerReference w:type="default" r:id="rId10"/>
      <w:headerReference w:type="first" r:id="rId11"/>
      <w:footerReference w:type="first" r:id="rId12"/>
      <w:pgSz w:w="12242" w:h="15842" w:code="1"/>
      <w:pgMar w:top="1418" w:right="1985" w:bottom="1418" w:left="1985"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5E023" w14:textId="77777777" w:rsidR="00290FBE" w:rsidRDefault="00290FBE" w:rsidP="00F93D82">
      <w:r>
        <w:separator/>
      </w:r>
    </w:p>
  </w:endnote>
  <w:endnote w:type="continuationSeparator" w:id="0">
    <w:p w14:paraId="51FF3F1C" w14:textId="77777777" w:rsidR="00290FBE" w:rsidRDefault="00290FBE" w:rsidP="00F93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53F5A" w14:textId="77777777" w:rsidR="00F677DC" w:rsidRDefault="00F677D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CABD1" w14:textId="77777777" w:rsidR="00F677DC" w:rsidRDefault="00F677D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32264" w14:textId="77777777" w:rsidR="00F677DC" w:rsidRDefault="00F677D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E12CF" w14:textId="77777777" w:rsidR="00290FBE" w:rsidRDefault="00290FBE" w:rsidP="00F93D82">
      <w:r>
        <w:separator/>
      </w:r>
    </w:p>
  </w:footnote>
  <w:footnote w:type="continuationSeparator" w:id="0">
    <w:p w14:paraId="238C1D38" w14:textId="77777777" w:rsidR="00290FBE" w:rsidRDefault="00290FBE" w:rsidP="00F93D82">
      <w:r>
        <w:continuationSeparator/>
      </w:r>
    </w:p>
  </w:footnote>
  <w:footnote w:id="1">
    <w:p w14:paraId="5947718D" w14:textId="77777777" w:rsidR="00A9250B" w:rsidRDefault="00A9250B">
      <w:pPr>
        <w:pStyle w:val="Notedebasdepage"/>
      </w:pPr>
      <w:r>
        <w:rPr>
          <w:rStyle w:val="Appelnotedebasdep"/>
        </w:rPr>
        <w:footnoteRef/>
      </w:r>
      <w:r>
        <w:t xml:space="preserve"> Le terme « police » est souvent utilisé pour désigner une famille de caractères.</w:t>
      </w:r>
    </w:p>
  </w:footnote>
  <w:footnote w:id="2">
    <w:p w14:paraId="24DC1553" w14:textId="77777777" w:rsidR="00F93D82" w:rsidRDefault="00F93D82" w:rsidP="00F93D82">
      <w:pPr>
        <w:pStyle w:val="Notedebasdepage"/>
      </w:pPr>
      <w:r>
        <w:rPr>
          <w:rStyle w:val="Appelnotedebasdep"/>
        </w:rPr>
        <w:footnoteRef/>
      </w:r>
      <w:r w:rsidR="00D56663">
        <w:t xml:space="preserve"> </w:t>
      </w:r>
      <w:r>
        <w:t>Jean-Pierre</w:t>
      </w:r>
      <w:r w:rsidR="00A0236E">
        <w:t xml:space="preserve"> BOILEAU,</w:t>
      </w:r>
      <w:r>
        <w:t xml:space="preserve"> </w:t>
      </w:r>
      <w:r>
        <w:rPr>
          <w:i/>
          <w:iCs/>
        </w:rPr>
        <w:t>Apprendre la mise en page</w:t>
      </w:r>
      <w:r w:rsidR="00A0236E">
        <w:t>,</w:t>
      </w:r>
      <w:r>
        <w:t xml:space="preserve"> </w:t>
      </w:r>
      <w:r w:rsidR="00CB3D7C">
        <w:t>Montréal</w:t>
      </w:r>
      <w:r w:rsidR="00A0236E">
        <w:t>,</w:t>
      </w:r>
      <w:r>
        <w:t xml:space="preserve"> Sybex, </w:t>
      </w:r>
      <w:r w:rsidR="00CB3D7C">
        <w:t>2011</w:t>
      </w:r>
      <w:r>
        <w:t>, p.</w:t>
      </w:r>
      <w:r w:rsidR="00F677DC">
        <w:t> </w:t>
      </w:r>
      <w:r>
        <w:t>75</w:t>
      </w:r>
      <w:r w:rsidR="00B62559">
        <w:t>.</w:t>
      </w:r>
    </w:p>
  </w:footnote>
  <w:footnote w:id="3">
    <w:p w14:paraId="2A2AE898" w14:textId="3D7E4879" w:rsidR="00F93D82" w:rsidRDefault="00F93D82" w:rsidP="00F93D82">
      <w:pPr>
        <w:pStyle w:val="Notedebasdepage"/>
      </w:pPr>
      <w:r>
        <w:rPr>
          <w:rStyle w:val="Appelnotedebasdep"/>
        </w:rPr>
        <w:footnoteRef/>
      </w:r>
      <w:r>
        <w:t xml:space="preserve"> </w:t>
      </w:r>
      <w:r w:rsidR="00E2407F">
        <w:t xml:space="preserve">Dans l’usage courant, le mot </w:t>
      </w:r>
      <w:r w:rsidR="00B66236">
        <w:t>« </w:t>
      </w:r>
      <w:r>
        <w:t>interligne</w:t>
      </w:r>
      <w:r w:rsidR="00B66236">
        <w:t> »</w:t>
      </w:r>
      <w:r>
        <w:t xml:space="preserve"> désigne l’espace qui </w:t>
      </w:r>
      <w:r w:rsidR="00E2407F">
        <w:t>sépare</w:t>
      </w:r>
      <w:r>
        <w:t xml:space="preserve"> deux lignes</w:t>
      </w:r>
      <w:r w:rsidR="00E2407F">
        <w:t>,</w:t>
      </w:r>
      <w:r>
        <w:t xml:space="preserve"> écrites ou imprimées. </w:t>
      </w:r>
      <w:r w:rsidR="00E2407F">
        <w:t xml:space="preserve">En imprimerie, </w:t>
      </w:r>
      <w:r w:rsidR="00E12088">
        <w:t>ce</w:t>
      </w:r>
      <w:r w:rsidR="00E2407F">
        <w:t xml:space="preserve"> terme </w:t>
      </w:r>
      <w:r>
        <w:t xml:space="preserve">désigne </w:t>
      </w:r>
      <w:r w:rsidR="00E2407F">
        <w:t xml:space="preserve">plutôt </w:t>
      </w:r>
      <w:r>
        <w:t>la lame de métal servant à séparer les lignes.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7EC4F" w14:textId="77777777" w:rsidR="004E3C1A" w:rsidRDefault="008B40D1">
    <w:r>
      <w:fldChar w:fldCharType="begin"/>
    </w:r>
    <w:r w:rsidR="00AB6E04">
      <w:instrText xml:space="preserve"> PAGE </w:instrText>
    </w:r>
    <w:r>
      <w:fldChar w:fldCharType="separate"/>
    </w:r>
    <w:r w:rsidR="00AB6E04">
      <w:rPr>
        <w:noProof/>
      </w:rPr>
      <w:t>3</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282CB" w14:textId="77777777" w:rsidR="00F677DC" w:rsidRDefault="00F677D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E30E2" w14:textId="77777777" w:rsidR="00F677DC" w:rsidRDefault="00F677D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D82"/>
    <w:rsid w:val="000302B4"/>
    <w:rsid w:val="00135D35"/>
    <w:rsid w:val="00177DE5"/>
    <w:rsid w:val="00214F2B"/>
    <w:rsid w:val="00267875"/>
    <w:rsid w:val="00290FBE"/>
    <w:rsid w:val="002F5386"/>
    <w:rsid w:val="00306382"/>
    <w:rsid w:val="00366271"/>
    <w:rsid w:val="00453771"/>
    <w:rsid w:val="004A1AA9"/>
    <w:rsid w:val="004D1745"/>
    <w:rsid w:val="005461BF"/>
    <w:rsid w:val="006362C8"/>
    <w:rsid w:val="007169D8"/>
    <w:rsid w:val="007677DD"/>
    <w:rsid w:val="007E6736"/>
    <w:rsid w:val="008A0AFB"/>
    <w:rsid w:val="008B40D1"/>
    <w:rsid w:val="008D3480"/>
    <w:rsid w:val="00915582"/>
    <w:rsid w:val="009511C6"/>
    <w:rsid w:val="00967D0D"/>
    <w:rsid w:val="00A0236E"/>
    <w:rsid w:val="00A60F9C"/>
    <w:rsid w:val="00A8643D"/>
    <w:rsid w:val="00A9250B"/>
    <w:rsid w:val="00AB6E04"/>
    <w:rsid w:val="00AC681C"/>
    <w:rsid w:val="00B62559"/>
    <w:rsid w:val="00B66236"/>
    <w:rsid w:val="00C54F0E"/>
    <w:rsid w:val="00CB3D7C"/>
    <w:rsid w:val="00CB4DEA"/>
    <w:rsid w:val="00D56663"/>
    <w:rsid w:val="00D74134"/>
    <w:rsid w:val="00DC5278"/>
    <w:rsid w:val="00DE4273"/>
    <w:rsid w:val="00E12088"/>
    <w:rsid w:val="00E2407F"/>
    <w:rsid w:val="00E274DE"/>
    <w:rsid w:val="00E56AAA"/>
    <w:rsid w:val="00EF28FD"/>
    <w:rsid w:val="00F677DC"/>
    <w:rsid w:val="00F93D82"/>
    <w:rsid w:val="00FA775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A3C12"/>
  <w15:docId w15:val="{B52D5536-1EA3-4664-AB66-616ED67C4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4"/>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D82"/>
    <w:pPr>
      <w:spacing w:after="0" w:line="240" w:lineRule="auto"/>
    </w:pPr>
    <w:rPr>
      <w:rFonts w:ascii="Times New Roman" w:eastAsia="Times New Roman" w:hAnsi="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date">
    <w:name w:val="Titre date"/>
    <w:basedOn w:val="Normal"/>
    <w:rsid w:val="00E274DE"/>
    <w:pPr>
      <w:spacing w:before="240" w:after="120"/>
    </w:pPr>
    <w:rPr>
      <w:rFonts w:asciiTheme="minorHAnsi" w:hAnsiTheme="minorHAnsi"/>
      <w:b/>
      <w:smallCaps/>
      <w:sz w:val="36"/>
    </w:rPr>
  </w:style>
  <w:style w:type="paragraph" w:styleId="Notedebasdepage">
    <w:name w:val="footnote text"/>
    <w:basedOn w:val="Normal"/>
    <w:link w:val="NotedebasdepageCar"/>
    <w:semiHidden/>
    <w:rsid w:val="00F93D82"/>
    <w:rPr>
      <w:sz w:val="20"/>
    </w:rPr>
  </w:style>
  <w:style w:type="character" w:customStyle="1" w:styleId="NotedebasdepageCar">
    <w:name w:val="Note de bas de page Car"/>
    <w:basedOn w:val="Policepardfaut"/>
    <w:link w:val="Notedebasdepage"/>
    <w:semiHidden/>
    <w:rsid w:val="00F93D82"/>
    <w:rPr>
      <w:rFonts w:ascii="Times New Roman" w:eastAsia="Times New Roman" w:hAnsi="Times New Roman"/>
      <w:sz w:val="20"/>
      <w:szCs w:val="20"/>
      <w:lang w:eastAsia="fr-FR"/>
    </w:rPr>
  </w:style>
  <w:style w:type="character" w:styleId="Appelnotedebasdep">
    <w:name w:val="footnote reference"/>
    <w:basedOn w:val="Policepardfaut"/>
    <w:semiHidden/>
    <w:rsid w:val="00F93D82"/>
    <w:rPr>
      <w:vertAlign w:val="superscript"/>
    </w:rPr>
  </w:style>
  <w:style w:type="paragraph" w:styleId="En-tte">
    <w:name w:val="header"/>
    <w:basedOn w:val="Normal"/>
    <w:link w:val="En-tteCar"/>
    <w:uiPriority w:val="99"/>
    <w:unhideWhenUsed/>
    <w:rsid w:val="00F677DC"/>
    <w:pPr>
      <w:tabs>
        <w:tab w:val="center" w:pos="4320"/>
        <w:tab w:val="right" w:pos="8640"/>
      </w:tabs>
    </w:pPr>
  </w:style>
  <w:style w:type="character" w:customStyle="1" w:styleId="En-tteCar">
    <w:name w:val="En-tête Car"/>
    <w:basedOn w:val="Policepardfaut"/>
    <w:link w:val="En-tte"/>
    <w:uiPriority w:val="99"/>
    <w:rsid w:val="00F677DC"/>
    <w:rPr>
      <w:rFonts w:ascii="Times New Roman" w:eastAsia="Times New Roman" w:hAnsi="Times New Roman"/>
      <w:sz w:val="24"/>
      <w:szCs w:val="20"/>
      <w:lang w:eastAsia="fr-FR"/>
    </w:rPr>
  </w:style>
  <w:style w:type="paragraph" w:styleId="Pieddepage">
    <w:name w:val="footer"/>
    <w:basedOn w:val="Normal"/>
    <w:link w:val="PieddepageCar"/>
    <w:uiPriority w:val="99"/>
    <w:unhideWhenUsed/>
    <w:rsid w:val="00F677DC"/>
    <w:pPr>
      <w:tabs>
        <w:tab w:val="center" w:pos="4320"/>
        <w:tab w:val="right" w:pos="8640"/>
      </w:tabs>
    </w:pPr>
  </w:style>
  <w:style w:type="character" w:customStyle="1" w:styleId="PieddepageCar">
    <w:name w:val="Pied de page Car"/>
    <w:basedOn w:val="Policepardfaut"/>
    <w:link w:val="Pieddepage"/>
    <w:uiPriority w:val="99"/>
    <w:rsid w:val="00F677DC"/>
    <w:rPr>
      <w:rFonts w:ascii="Times New Roman" w:eastAsia="Times New Roman" w:hAnsi="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007BD-D4DF-4966-A32A-E96C02EAF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694</Words>
  <Characters>3818</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Naziha Rechoum</dc:creator>
  <cp:lastModifiedBy>Amy Brouillette</cp:lastModifiedBy>
  <cp:revision>6</cp:revision>
  <dcterms:created xsi:type="dcterms:W3CDTF">2019-04-12T12:51:00Z</dcterms:created>
  <dcterms:modified xsi:type="dcterms:W3CDTF">2022-03-10T14:56:00Z</dcterms:modified>
</cp:coreProperties>
</file>