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CB4" w:rsidRPr="00712CB4" w:rsidRDefault="00712CB4" w:rsidP="00712CB4">
      <w:pPr>
        <w:spacing w:before="240" w:after="60"/>
        <w:jc w:val="both"/>
        <w:rPr>
          <w:sz w:val="96"/>
          <w:szCs w:val="200"/>
        </w:rPr>
      </w:pPr>
      <w:r w:rsidRPr="00712CB4">
        <w:rPr>
          <w:color w:val="C00000"/>
          <w:sz w:val="96"/>
          <w:szCs w:val="200"/>
          <w14:shadow w14:blurRad="50800" w14:dist="38100" w14:dir="16200000" w14:sx="100000" w14:sy="100000" w14:kx="0" w14:ky="0" w14:algn="b">
            <w14:srgbClr w14:val="000000">
              <w14:alpha w14:val="60000"/>
            </w14:srgbClr>
          </w14:shadow>
        </w:rPr>
        <w:t>Brésil</w:t>
      </w:r>
    </w:p>
    <w:p w:rsidR="00D4549F" w:rsidRPr="00EF4F1B" w:rsidRDefault="00D4549F" w:rsidP="00EF4F1B">
      <w:pPr>
        <w:spacing w:before="360" w:after="120"/>
        <w:jc w:val="both"/>
        <w:rPr>
          <w:bCs/>
          <w:smallCaps/>
          <w:sz w:val="44"/>
          <w:szCs w:val="36"/>
        </w:rPr>
      </w:pPr>
      <w:r w:rsidRPr="00EF4F1B">
        <w:rPr>
          <w:bCs/>
          <w:smallCaps/>
          <w:sz w:val="44"/>
          <w:szCs w:val="36"/>
        </w:rPr>
        <w:t>Géographie</w:t>
      </w:r>
    </w:p>
    <w:p w:rsidR="00D4549F" w:rsidRPr="00EF4F1B" w:rsidRDefault="00D4549F" w:rsidP="00EF4F1B">
      <w:pPr>
        <w:spacing w:after="240" w:line="276" w:lineRule="auto"/>
        <w:jc w:val="both"/>
      </w:pPr>
      <w:r w:rsidRPr="00EF4F1B">
        <w:t>Le Brésil occupe presque la moitié du continent entier de l’Amérique du Sud, et il est le cinquième plus grand pays du monde. Il encadre tous les pays latino-américains excepté le Chili et l’Équateur.</w:t>
      </w:r>
    </w:p>
    <w:p w:rsidR="00D4549F" w:rsidRPr="00EF4F1B" w:rsidRDefault="00D4549F" w:rsidP="00EF4F1B">
      <w:pPr>
        <w:spacing w:after="240" w:line="276" w:lineRule="auto"/>
        <w:jc w:val="both"/>
      </w:pPr>
      <w:r w:rsidRPr="00EF4F1B">
        <w:t>Le littoral de 9,170 km et les 50,000 km de voies navigables fournissent un grand potentiel pas encore développé pour le transport de l’eau. Sur le plan topographique, le Brésil est relativement plat. 40% du pays est situé sous la forêt tropicale de l’Amazonie. La majeure partie des terres arables se trouvent dans le Sud, mais le processus de développement des terrains agricoles s’amorce aussi bien dans l’</w:t>
      </w:r>
      <w:r w:rsidR="00C839DE" w:rsidRPr="00EF4F1B">
        <w:t>o</w:t>
      </w:r>
      <w:r w:rsidRPr="00EF4F1B">
        <w:t xml:space="preserve">uest </w:t>
      </w:r>
      <w:r w:rsidR="00C839DE" w:rsidRPr="00EF4F1B">
        <w:t>c</w:t>
      </w:r>
      <w:r w:rsidRPr="00EF4F1B">
        <w:t>entral que dans le Nord. Le climat est principalement</w:t>
      </w:r>
      <w:r w:rsidR="0062778C" w:rsidRPr="00EF4F1B">
        <w:t xml:space="preserve"> </w:t>
      </w:r>
      <w:r w:rsidRPr="00EF4F1B">
        <w:t xml:space="preserve">tropical et sous tropical; il est particulièrement humide et pluvieux dans la région de l’Amazonie ainsi que le long de la côte. Le climat tempéré se trouve dans le sud et sur les terres plus hautes. La nation ne souffre pas de tremblements de terre, d’ouragans ni de cyclones, mais des pluies torrentielles, la </w:t>
      </w:r>
      <w:r w:rsidR="00C839DE" w:rsidRPr="00EF4F1B">
        <w:t>sècheresse</w:t>
      </w:r>
      <w:r w:rsidRPr="00EF4F1B">
        <w:t xml:space="preserve"> et le givre causent parfois des dommages considérables.</w:t>
      </w:r>
    </w:p>
    <w:p w:rsidR="0086549A" w:rsidRPr="00EF4F1B" w:rsidRDefault="0086549A" w:rsidP="00EF4F1B">
      <w:pPr>
        <w:spacing w:line="276" w:lineRule="auto"/>
        <w:jc w:val="both"/>
      </w:pPr>
      <w:r w:rsidRPr="00EF4F1B">
        <w:rPr>
          <w:noProof/>
        </w:rPr>
        <w:drawing>
          <wp:inline distT="0" distB="0" distL="0" distR="0" wp14:anchorId="2D41FA2C" wp14:editId="03E94314">
            <wp:extent cx="2857143" cy="2857143"/>
            <wp:effectExtent l="0" t="0" r="63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143" cy="2857143"/>
                    </a:xfrm>
                    <a:prstGeom prst="rect">
                      <a:avLst/>
                    </a:prstGeom>
                  </pic:spPr>
                </pic:pic>
              </a:graphicData>
            </a:graphic>
          </wp:inline>
        </w:drawing>
      </w:r>
    </w:p>
    <w:p w:rsidR="00712CB4" w:rsidRDefault="00712CB4">
      <w:pPr>
        <w:rPr>
          <w:bCs/>
          <w:smallCaps/>
          <w:sz w:val="44"/>
          <w:szCs w:val="36"/>
        </w:rPr>
      </w:pPr>
      <w:r>
        <w:rPr>
          <w:bCs/>
          <w:smallCaps/>
          <w:sz w:val="44"/>
          <w:szCs w:val="36"/>
        </w:rPr>
        <w:br w:type="page"/>
      </w:r>
      <w:bookmarkStart w:id="0" w:name="_GoBack"/>
      <w:bookmarkEnd w:id="0"/>
    </w:p>
    <w:p w:rsidR="00D4549F" w:rsidRPr="00EF4F1B" w:rsidRDefault="00D4549F" w:rsidP="00EF4F1B">
      <w:pPr>
        <w:spacing w:before="360" w:after="120"/>
        <w:jc w:val="both"/>
        <w:rPr>
          <w:bCs/>
          <w:smallCaps/>
          <w:sz w:val="44"/>
          <w:szCs w:val="36"/>
        </w:rPr>
      </w:pPr>
      <w:r w:rsidRPr="00EF4F1B">
        <w:rPr>
          <w:bCs/>
          <w:smallCaps/>
          <w:sz w:val="44"/>
          <w:szCs w:val="36"/>
        </w:rPr>
        <w:lastRenderedPageBreak/>
        <w:t>Démographie et population</w:t>
      </w:r>
    </w:p>
    <w:p w:rsidR="00D4549F" w:rsidRPr="00EF4F1B" w:rsidRDefault="00D4549F" w:rsidP="00EF4F1B">
      <w:pPr>
        <w:spacing w:after="240" w:line="276" w:lineRule="auto"/>
        <w:jc w:val="both"/>
      </w:pPr>
      <w:r w:rsidRPr="00EF4F1B">
        <w:rPr>
          <w:bCs/>
        </w:rPr>
        <w:t>La population</w:t>
      </w:r>
      <w:r w:rsidRPr="00EF4F1B">
        <w:rPr>
          <w:b/>
          <w:bCs/>
        </w:rPr>
        <w:t xml:space="preserve"> </w:t>
      </w:r>
      <w:r w:rsidRPr="00EF4F1B">
        <w:t xml:space="preserve">frise les 155 millions et augmente d’environ 2% par année. Elle est concentrée dans les états du Minas Gerais, de Sao Paulo, et de </w:t>
      </w:r>
      <w:r w:rsidR="00756E5E" w:rsidRPr="00EF4F1B">
        <w:t>Paraná</w:t>
      </w:r>
      <w:r w:rsidRPr="00EF4F1B">
        <w:t>. Presque 60% de la population</w:t>
      </w:r>
      <w:r w:rsidR="0062778C" w:rsidRPr="00EF4F1B">
        <w:t xml:space="preserve"> </w:t>
      </w:r>
      <w:r w:rsidRPr="00EF4F1B">
        <w:t>totale vit sur 20% des terres. 80% de la population est urbaine et 20% rurale. 55% ont moins de 20 ans et moins de 10% plus de 60 ans. L'espérance moyenne de vie est de 63 ans.</w:t>
      </w:r>
    </w:p>
    <w:p w:rsidR="00D4549F" w:rsidRPr="00EF4F1B" w:rsidRDefault="00D4549F" w:rsidP="00EF4F1B">
      <w:pPr>
        <w:spacing w:after="240" w:line="276" w:lineRule="auto"/>
        <w:jc w:val="both"/>
      </w:pPr>
      <w:r w:rsidRPr="00EF4F1B">
        <w:t>La majorité des Brésiliens sont de descendance européenne ou africaine. Sans compter les colons</w:t>
      </w:r>
      <w:r w:rsidR="0062778C" w:rsidRPr="00EF4F1B">
        <w:t xml:space="preserve"> </w:t>
      </w:r>
      <w:r w:rsidRPr="00EF4F1B">
        <w:t>d'origine portugaise, d'autres groupes ethniques significatifs incluent des Africains, des Allemands, des Italiens, et des Japonais. La langue officielle est le portugais, mais l'anglais est largement répandu dans le milieu des affaires. La religion prédominante est le catholicisme romain. Il y a liberté religieuse, et la religion n'est pas une source de malaise social.</w:t>
      </w:r>
    </w:p>
    <w:p w:rsidR="00712CB4" w:rsidRDefault="00D4549F" w:rsidP="00712CB4">
      <w:pPr>
        <w:spacing w:after="240" w:line="276" w:lineRule="auto"/>
        <w:jc w:val="both"/>
      </w:pPr>
      <w:r w:rsidRPr="00EF4F1B">
        <w:t>Le niveau de l'éducation générale a besoin d'être grandement amélioré. On</w:t>
      </w:r>
      <w:r w:rsidR="0062778C" w:rsidRPr="00EF4F1B">
        <w:t xml:space="preserve"> </w:t>
      </w:r>
      <w:r w:rsidRPr="00EF4F1B">
        <w:t xml:space="preserve">considère qu'environ 75% des enfants de plus de dix ans ont besoin d'être instruits. Environ 5% des étudiants inscrits poursuivent des études supérieures. En conséquence, la majeure partie de la </w:t>
      </w:r>
      <w:r w:rsidR="00756E5E" w:rsidRPr="00EF4F1B">
        <w:t>main-d’œuvre</w:t>
      </w:r>
      <w:r w:rsidRPr="00EF4F1B">
        <w:t xml:space="preserve"> est semi-qualifiée ou non qualifiée. Il y a un manque de personnel de direction et de surveillance, ainsi que de personnel</w:t>
      </w:r>
      <w:r w:rsidR="0062778C" w:rsidRPr="00EF4F1B">
        <w:t xml:space="preserve"> </w:t>
      </w:r>
      <w:r w:rsidRPr="00EF4F1B">
        <w:t>technique.</w:t>
      </w:r>
      <w:r w:rsidR="00712CB4">
        <w:br w:type="page"/>
      </w:r>
    </w:p>
    <w:p w:rsidR="00D4549F" w:rsidRPr="00EF4F1B" w:rsidRDefault="00AE413D" w:rsidP="00EF4F1B">
      <w:pPr>
        <w:spacing w:before="360" w:after="120"/>
        <w:jc w:val="both"/>
        <w:rPr>
          <w:bCs/>
          <w:smallCaps/>
          <w:sz w:val="44"/>
          <w:szCs w:val="36"/>
        </w:rPr>
      </w:pPr>
      <w:r w:rsidRPr="00EF4F1B">
        <w:rPr>
          <w:bCs/>
          <w:smallCaps/>
          <w:sz w:val="44"/>
          <w:szCs w:val="36"/>
        </w:rPr>
        <w:lastRenderedPageBreak/>
        <w:t>Ressources</w:t>
      </w:r>
    </w:p>
    <w:p w:rsidR="00D4549F" w:rsidRPr="00EF4F1B" w:rsidRDefault="00D4549F" w:rsidP="00EF4F1B">
      <w:pPr>
        <w:spacing w:after="240" w:line="276" w:lineRule="auto"/>
        <w:jc w:val="both"/>
      </w:pPr>
      <w:r w:rsidRPr="00EF4F1B">
        <w:t>Le Brésil est riche en ressources naturelles. Il possède certains des plus grands gisements de minerai de fer du monde et est actuellement un des plus grands producteurs d'or. D'autres métaux et minerais sont également extraits à un rythme croissant. Le système fluvial étendu</w:t>
      </w:r>
      <w:r w:rsidR="0062778C" w:rsidRPr="00EF4F1B">
        <w:t xml:space="preserve"> </w:t>
      </w:r>
      <w:r w:rsidRPr="00EF4F1B">
        <w:t>fournit un grand potentiel hydroélectrique, comme en témoigne le projet du barrage d'Itaipu. Depuis la crise pétrolière des années 70, le Brésil s'est engagé dans le programme de ProAlcool pour la fabrication de carburant à base d'alcool à partir de la canne à sucre dans le but de réduire la dépendance du pays par rapport au pétrole étranger.</w:t>
      </w:r>
    </w:p>
    <w:p w:rsidR="00D4549F" w:rsidRPr="00EF4F1B" w:rsidRDefault="00D4549F" w:rsidP="00EF4F1B">
      <w:pPr>
        <w:spacing w:after="240" w:line="276" w:lineRule="auto"/>
        <w:jc w:val="both"/>
      </w:pPr>
      <w:r w:rsidRPr="00EF4F1B">
        <w:t>Dans le domaine de l'agriculture, le Brésil est le principal exportateur de soja et de jus d'orange en plus du café et du cacao traditionnels. Le potentiel de pêche le long du littoral est significatif mais n'a pas encore été entièrement exploité. Le paysage</w:t>
      </w:r>
      <w:r w:rsidR="0062778C" w:rsidRPr="00EF4F1B">
        <w:t xml:space="preserve"> </w:t>
      </w:r>
      <w:r w:rsidRPr="00EF4F1B">
        <w:t>naturel et le climat favorable stimulent également une industrie du tourisme prospère</w:t>
      </w:r>
      <w:r w:rsidR="0063172A" w:rsidRPr="00EF4F1B">
        <w:t>.</w:t>
      </w:r>
    </w:p>
    <w:p w:rsidR="00712CB4" w:rsidRDefault="008D575B" w:rsidP="00EF4F1B">
      <w:pPr>
        <w:spacing w:line="276" w:lineRule="auto"/>
        <w:jc w:val="both"/>
      </w:pPr>
      <w:r w:rsidRPr="00EF4F1B">
        <w:rPr>
          <w:noProof/>
        </w:rPr>
        <w:drawing>
          <wp:inline distT="0" distB="0" distL="0" distR="0" wp14:anchorId="44942D5C" wp14:editId="53FA49F4">
            <wp:extent cx="3481549" cy="2603859"/>
            <wp:effectExtent l="0" t="0" r="508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84946" cy="2606399"/>
                    </a:xfrm>
                    <a:prstGeom prst="rect">
                      <a:avLst/>
                    </a:prstGeom>
                  </pic:spPr>
                </pic:pic>
              </a:graphicData>
            </a:graphic>
          </wp:inline>
        </w:drawing>
      </w:r>
    </w:p>
    <w:p w:rsidR="00712CB4" w:rsidRDefault="00712CB4">
      <w:r>
        <w:br w:type="page"/>
      </w:r>
    </w:p>
    <w:p w:rsidR="00D4549F" w:rsidRPr="00EF4F1B" w:rsidRDefault="0063172A" w:rsidP="00EF4F1B">
      <w:pPr>
        <w:spacing w:before="360" w:after="120"/>
        <w:jc w:val="both"/>
        <w:rPr>
          <w:bCs/>
          <w:smallCaps/>
          <w:sz w:val="44"/>
          <w:szCs w:val="36"/>
        </w:rPr>
      </w:pPr>
      <w:r w:rsidRPr="00EF4F1B">
        <w:rPr>
          <w:bCs/>
          <w:smallCaps/>
          <w:sz w:val="44"/>
          <w:szCs w:val="36"/>
        </w:rPr>
        <w:lastRenderedPageBreak/>
        <w:t>Climat et forces politiques</w:t>
      </w:r>
    </w:p>
    <w:p w:rsidR="00D4549F" w:rsidRPr="00EF4F1B" w:rsidRDefault="00D4549F" w:rsidP="00EF4F1B">
      <w:pPr>
        <w:spacing w:after="240" w:line="276" w:lineRule="auto"/>
        <w:jc w:val="both"/>
      </w:pPr>
      <w:r w:rsidRPr="00EF4F1B">
        <w:rPr>
          <w:bCs/>
        </w:rPr>
        <w:t xml:space="preserve">Le </w:t>
      </w:r>
      <w:r w:rsidRPr="00EF4F1B">
        <w:t>Brésil est demeuré une colonie portugaise pendant plus de 300 ans jusqu'à ce</w:t>
      </w:r>
      <w:r w:rsidR="0062778C" w:rsidRPr="00EF4F1B">
        <w:t xml:space="preserve"> </w:t>
      </w:r>
      <w:r w:rsidRPr="00EF4F1B">
        <w:t xml:space="preserve"> qu’il devienne une République en 1889. La plus récente constitution a été promulguée en 1988, et elle est toujours à l'étude.</w:t>
      </w:r>
    </w:p>
    <w:p w:rsidR="00D4549F" w:rsidRPr="00EF4F1B" w:rsidRDefault="00D4549F" w:rsidP="00EF4F1B">
      <w:pPr>
        <w:spacing w:line="276" w:lineRule="auto"/>
        <w:jc w:val="both"/>
      </w:pPr>
      <w:r w:rsidRPr="00EF4F1B">
        <w:t>Le Brésil se compose de 27 états et du district fédéral de Brasilia, la capitale. Les états sont divisés en municipalités, divisées en outre en zones. Le gouvernement fédéral se compose de trois branches</w:t>
      </w:r>
      <w:r w:rsidR="00B00993" w:rsidRPr="00EF4F1B">
        <w:t xml:space="preserve"> : </w:t>
      </w:r>
      <w:r w:rsidRPr="00EF4F1B">
        <w:t>la branche exécutive, la branche législative, et la branche judiciaire.</w:t>
      </w:r>
    </w:p>
    <w:p w:rsidR="00D4549F" w:rsidRPr="00EF4F1B" w:rsidRDefault="00D4549F" w:rsidP="00EF4F1B">
      <w:pPr>
        <w:spacing w:after="240" w:line="276" w:lineRule="auto"/>
        <w:jc w:val="both"/>
      </w:pPr>
      <w:r w:rsidRPr="00EF4F1B">
        <w:t>La branche exécutive est dirigée par le président qui a sous ses ordres plusieurs départements exécutifs et bureaux indépendants. Les chefs désignés des départements exécutifs forment le Cabinet. La branche législative, le congrès, se compose du sénat élu et de la chambre des représentants. La branche judiciaire comprend un système fédéral, d'état, et des cours locales dans tout le pays, avec à leur tête la Cour suprême.</w:t>
      </w:r>
    </w:p>
    <w:p w:rsidR="00D4549F" w:rsidRPr="00EF4F1B" w:rsidRDefault="00D4549F" w:rsidP="00EF4F1B">
      <w:pPr>
        <w:spacing w:after="240" w:line="276" w:lineRule="auto"/>
        <w:jc w:val="both"/>
      </w:pPr>
      <w:r w:rsidRPr="00EF4F1B">
        <w:t xml:space="preserve">Après l'industrialisation résultant en une inflation féroce et une dette extérieure, le Brésil a traversé une période de régime autocratique militaire de 1964 à 1989, jusqu'à ce que le premier président, Fernando </w:t>
      </w:r>
      <w:proofErr w:type="spellStart"/>
      <w:r w:rsidR="00C74353" w:rsidRPr="00EF4F1B">
        <w:t>Collur</w:t>
      </w:r>
      <w:proofErr w:type="spellEnd"/>
      <w:r w:rsidRPr="00EF4F1B">
        <w:t xml:space="preserve"> de Mello, ait été populairement élu en 1960. Même si les militaires ont une chance très mince de prendre un jour le pouvoir, ils restent toujours une force politique forte.</w:t>
      </w:r>
    </w:p>
    <w:p w:rsidR="00D4549F" w:rsidRPr="00EF4F1B" w:rsidRDefault="00D4549F" w:rsidP="00EF4F1B">
      <w:pPr>
        <w:spacing w:after="240" w:line="276" w:lineRule="auto"/>
        <w:jc w:val="both"/>
      </w:pPr>
      <w:r w:rsidRPr="00EF4F1B">
        <w:t xml:space="preserve">Le Président </w:t>
      </w:r>
      <w:proofErr w:type="spellStart"/>
      <w:r w:rsidR="00C74353" w:rsidRPr="00EF4F1B">
        <w:t>Collur</w:t>
      </w:r>
      <w:proofErr w:type="spellEnd"/>
      <w:r w:rsidRPr="00EF4F1B">
        <w:t xml:space="preserve"> a eu un appui significatif et s’est consacré à</w:t>
      </w:r>
      <w:r w:rsidR="0062778C" w:rsidRPr="00EF4F1B">
        <w:t xml:space="preserve"> </w:t>
      </w:r>
      <w:r w:rsidRPr="00EF4F1B">
        <w:t>la réforme de la politique économique. Parmi ses projets figuraient la réduction des tarifs,</w:t>
      </w:r>
      <w:r w:rsidR="0062778C" w:rsidRPr="00EF4F1B">
        <w:t xml:space="preserve"> </w:t>
      </w:r>
      <w:r w:rsidRPr="00EF4F1B">
        <w:t>le contrôle de l'inflation, le développement du libre-échange, ainsi que la réduction de l'excédent du secteur public. Cependant, il démissionna en 1992 à la suite d’inculpation de corruption. On considéra que son successeur, ancien vice-président, Itamar Franco, fit preuve d’indécision dans les sujets économiques. Il choisit</w:t>
      </w:r>
      <w:r w:rsidR="0062778C" w:rsidRPr="00EF4F1B">
        <w:t xml:space="preserve"> </w:t>
      </w:r>
      <w:r w:rsidRPr="00EF4F1B">
        <w:t>en priorité l’augmentation de l’économie plutôt que la</w:t>
      </w:r>
      <w:r w:rsidR="0062778C" w:rsidRPr="00EF4F1B">
        <w:t xml:space="preserve"> </w:t>
      </w:r>
      <w:r w:rsidRPr="00EF4F1B">
        <w:t>réduction de l'inflation. En dépit d'un déficit déjà énorme, il essaya de stimuler la croissance en augmentant les dépenses du gouvernement.</w:t>
      </w:r>
    </w:p>
    <w:p w:rsidR="00D4549F" w:rsidRPr="00EF4F1B" w:rsidRDefault="00D4549F" w:rsidP="00EF4F1B">
      <w:pPr>
        <w:spacing w:after="240" w:line="276" w:lineRule="auto"/>
        <w:jc w:val="both"/>
      </w:pPr>
      <w:r w:rsidRPr="00EF4F1B">
        <w:t>Le président</w:t>
      </w:r>
      <w:r w:rsidR="0062778C" w:rsidRPr="00EF4F1B">
        <w:t xml:space="preserve"> </w:t>
      </w:r>
      <w:r w:rsidRPr="00EF4F1B">
        <w:t xml:space="preserve">actuel, </w:t>
      </w:r>
      <w:proofErr w:type="spellStart"/>
      <w:r w:rsidRPr="00EF4F1B">
        <w:t>Fernardo</w:t>
      </w:r>
      <w:proofErr w:type="spellEnd"/>
      <w:r w:rsidRPr="00EF4F1B">
        <w:t xml:space="preserve"> Henrique Cardoso, était le ministre des </w:t>
      </w:r>
      <w:r w:rsidR="00C839DE" w:rsidRPr="00EF4F1B">
        <w:t>Finances</w:t>
      </w:r>
      <w:r w:rsidRPr="00EF4F1B">
        <w:t xml:space="preserve"> de Franco. Il a fait passer à la hâte un programme de stabilisation qui comprenait une libéralisation économique significative et une augmentation de</w:t>
      </w:r>
      <w:r w:rsidR="0062778C" w:rsidRPr="00EF4F1B">
        <w:t xml:space="preserve"> </w:t>
      </w:r>
      <w:r w:rsidRPr="00EF4F1B">
        <w:t>l'impôt sur le revenu. Il a réussi à faire baisser l'inflation et le déficit fédéral en présentant le Véritable Plan.</w:t>
      </w:r>
      <w:r w:rsidR="0062778C" w:rsidRPr="00EF4F1B">
        <w:t xml:space="preserve"> </w:t>
      </w:r>
      <w:r w:rsidRPr="00EF4F1B">
        <w:t>À l’heure actuelle, il précipite la révision de la constitution qui consiste à privatiser des monopoles gérés par l'État et à redistribuer des recettes fiscales.</w:t>
      </w:r>
    </w:p>
    <w:p w:rsidR="00D4549F" w:rsidRPr="00EF4F1B" w:rsidRDefault="00D4549F" w:rsidP="00EF4F1B">
      <w:pPr>
        <w:spacing w:after="240" w:line="276" w:lineRule="auto"/>
        <w:jc w:val="both"/>
      </w:pPr>
      <w:r w:rsidRPr="00EF4F1B">
        <w:t xml:space="preserve">Luis </w:t>
      </w:r>
      <w:proofErr w:type="spellStart"/>
      <w:r w:rsidRPr="00EF4F1B">
        <w:t>Inacio</w:t>
      </w:r>
      <w:proofErr w:type="spellEnd"/>
      <w:r w:rsidRPr="00EF4F1B">
        <w:t xml:space="preserve"> Da Silva (Lula), chef du Parti Ouvriers (PT) était arrivé second</w:t>
      </w:r>
      <w:r w:rsidR="0062778C" w:rsidRPr="00EF4F1B">
        <w:t xml:space="preserve"> </w:t>
      </w:r>
      <w:r w:rsidRPr="00EF4F1B">
        <w:t>lors de deux dernières élections présidentielles. Sa philosophie socialiste souligne la justice sociale, les contraintes du marché capitaliste, les limitations à l'intégration à l’économie mondiale, la réduction des créances, et un plus grand rôle de l'État. Il représente l'aile gauche de la politique brésilienne qui prend de l’importance. En attendant, pressé par le tollé public qui</w:t>
      </w:r>
      <w:r w:rsidR="0062778C" w:rsidRPr="00EF4F1B">
        <w:t xml:space="preserve"> </w:t>
      </w:r>
      <w:r w:rsidRPr="00EF4F1B">
        <w:lastRenderedPageBreak/>
        <w:t xml:space="preserve">réclame de meilleurs services publics, le </w:t>
      </w:r>
      <w:r w:rsidR="00C74353" w:rsidRPr="00EF4F1B">
        <w:t>Président C. Cardoso</w:t>
      </w:r>
      <w:r w:rsidRPr="00EF4F1B">
        <w:t xml:space="preserve"> a annoncé qu’il envisageait $500 billions de dépenses pour 1996-99; les deux tiers de cette somme</w:t>
      </w:r>
      <w:r w:rsidR="0062778C" w:rsidRPr="00EF4F1B">
        <w:t xml:space="preserve"> </w:t>
      </w:r>
      <w:r w:rsidRPr="00EF4F1B">
        <w:t>seraient consacrés aux services sociaux, tels que l'éducation et le logement. Cependant, M. Cardoso a déçu les observateurs occidentaux en assignant deux tiers de la dépense sociale aux paiements des prestations sociales.</w:t>
      </w:r>
    </w:p>
    <w:p w:rsidR="00712CB4" w:rsidRPr="00712CB4" w:rsidRDefault="00D4549F" w:rsidP="00712CB4">
      <w:pPr>
        <w:spacing w:after="240" w:line="276" w:lineRule="auto"/>
        <w:jc w:val="both"/>
        <w:rPr>
          <w:bCs/>
        </w:rPr>
      </w:pPr>
      <w:r w:rsidRPr="00EF4F1B">
        <w:t>Puisque 71% de la population est catholique romaine, l'église brésilienne a traditionnellement eu une grande influence sur la scène politique. Ces dernières années, le Vatican a renforcé le contrôle de l’église, la rendant plus conservatrice. Cependant, l'église reste toujours une aile sociale d'action de</w:t>
      </w:r>
      <w:r w:rsidR="0062778C" w:rsidRPr="00EF4F1B">
        <w:t xml:space="preserve"> </w:t>
      </w:r>
      <w:r w:rsidRPr="00EF4F1B">
        <w:t>centre gauche qui exerce son influence sur</w:t>
      </w:r>
      <w:r w:rsidR="0062778C" w:rsidRPr="00EF4F1B">
        <w:t xml:space="preserve"> </w:t>
      </w:r>
      <w:r w:rsidRPr="00EF4F1B">
        <w:t>les résultats de vote. L'église brésilienne est étroitement liée aux sympathies des plus faibles.</w:t>
      </w:r>
      <w:r w:rsidR="00712CB4" w:rsidRPr="00712CB4">
        <w:rPr>
          <w:bCs/>
        </w:rPr>
        <w:br w:type="page"/>
      </w:r>
    </w:p>
    <w:p w:rsidR="00D4549F" w:rsidRPr="00EF4F1B" w:rsidRDefault="00D4549F" w:rsidP="00EF4F1B">
      <w:pPr>
        <w:spacing w:before="360" w:after="120"/>
        <w:jc w:val="both"/>
        <w:rPr>
          <w:bCs/>
          <w:smallCaps/>
          <w:sz w:val="44"/>
          <w:szCs w:val="36"/>
        </w:rPr>
      </w:pPr>
      <w:r w:rsidRPr="00EF4F1B">
        <w:rPr>
          <w:bCs/>
          <w:smallCaps/>
          <w:sz w:val="44"/>
          <w:szCs w:val="36"/>
        </w:rPr>
        <w:lastRenderedPageBreak/>
        <w:t xml:space="preserve">Croissance économique </w:t>
      </w:r>
    </w:p>
    <w:p w:rsidR="00712CB4" w:rsidRDefault="00D4549F" w:rsidP="00712CB4">
      <w:pPr>
        <w:spacing w:after="240" w:line="276" w:lineRule="auto"/>
        <w:jc w:val="both"/>
        <w:rPr>
          <w:bCs/>
          <w:smallCaps/>
          <w:sz w:val="44"/>
          <w:szCs w:val="36"/>
        </w:rPr>
      </w:pPr>
      <w:r w:rsidRPr="00EF4F1B">
        <w:rPr>
          <w:bCs/>
        </w:rPr>
        <w:t xml:space="preserve">Le </w:t>
      </w:r>
      <w:r w:rsidRPr="00EF4F1B">
        <w:t xml:space="preserve">Brésil est la dixième plus grande puissance économique au monde. Son économie s'est développée considérablement du milieu des années 60 à la fin des années 70. Cependant, pendant les années 80, les performances économiques ont faibli; l'instabilité </w:t>
      </w:r>
      <w:r w:rsidR="00C839DE" w:rsidRPr="00EF4F1B">
        <w:t>macroéconomique</w:t>
      </w:r>
      <w:r w:rsidRPr="00EF4F1B">
        <w:t>, l'inflation élevée, et l'endettement accru ont caractérisé le tableau de cette décade. Sous la réforme économique récente, la croissance a repris et l'inflation a été réduite. Les défis principaux que doit relever le Brésil maintenant consistent à maintenir la croissance économique et le contrôle de l’inflation.</w:t>
      </w:r>
      <w:r w:rsidR="00712CB4">
        <w:rPr>
          <w:bCs/>
          <w:smallCaps/>
          <w:sz w:val="44"/>
          <w:szCs w:val="36"/>
        </w:rPr>
        <w:br w:type="page"/>
      </w:r>
    </w:p>
    <w:p w:rsidR="00D4549F" w:rsidRPr="00EF4F1B" w:rsidRDefault="00D4549F" w:rsidP="00EF4F1B">
      <w:pPr>
        <w:spacing w:before="360" w:after="120"/>
        <w:jc w:val="both"/>
        <w:rPr>
          <w:bCs/>
          <w:smallCaps/>
          <w:sz w:val="44"/>
          <w:szCs w:val="36"/>
        </w:rPr>
      </w:pPr>
      <w:r w:rsidRPr="00EF4F1B">
        <w:rPr>
          <w:bCs/>
          <w:smallCaps/>
          <w:sz w:val="44"/>
          <w:szCs w:val="36"/>
        </w:rPr>
        <w:lastRenderedPageBreak/>
        <w:t>V</w:t>
      </w:r>
      <w:r w:rsidR="00A73A98" w:rsidRPr="00EF4F1B">
        <w:rPr>
          <w:bCs/>
          <w:smallCaps/>
          <w:sz w:val="44"/>
          <w:szCs w:val="36"/>
        </w:rPr>
        <w:t>aleurs nationales et idéologie</w:t>
      </w:r>
    </w:p>
    <w:p w:rsidR="00D4549F" w:rsidRPr="00EF4F1B" w:rsidRDefault="00D170EB" w:rsidP="00EF4F1B">
      <w:pPr>
        <w:keepNext/>
        <w:spacing w:before="120" w:after="120"/>
        <w:jc w:val="both"/>
        <w:rPr>
          <w:bCs/>
          <w:sz w:val="32"/>
          <w:szCs w:val="32"/>
        </w:rPr>
      </w:pPr>
      <w:r w:rsidRPr="00EF4F1B">
        <w:rPr>
          <w:bCs/>
          <w:sz w:val="32"/>
          <w:szCs w:val="32"/>
        </w:rPr>
        <w:t xml:space="preserve">La </w:t>
      </w:r>
      <w:r w:rsidRPr="00EF4F1B">
        <w:rPr>
          <w:bCs/>
          <w:sz w:val="32"/>
          <w:szCs w:val="36"/>
        </w:rPr>
        <w:t>population</w:t>
      </w:r>
    </w:p>
    <w:p w:rsidR="00D4549F" w:rsidRPr="00EF4F1B" w:rsidRDefault="00D4549F" w:rsidP="00EF4F1B">
      <w:pPr>
        <w:spacing w:after="240" w:line="276" w:lineRule="auto"/>
        <w:jc w:val="both"/>
      </w:pPr>
      <w:r w:rsidRPr="00EF4F1B">
        <w:t>Le Brésil est un pays aux ethnies et aux cultures très diverses. Les Brésiliens apparaissent comme des êtres passionnés, ouverts, et</w:t>
      </w:r>
      <w:r w:rsidR="0062778C" w:rsidRPr="00EF4F1B">
        <w:t xml:space="preserve"> </w:t>
      </w:r>
      <w:r w:rsidRPr="00EF4F1B">
        <w:t>particulièrement patriotiques aux yeux du monde occidental, quand</w:t>
      </w:r>
      <w:r w:rsidR="0062778C" w:rsidRPr="00EF4F1B">
        <w:t xml:space="preserve"> </w:t>
      </w:r>
      <w:r w:rsidRPr="00EF4F1B">
        <w:t>il s’agit de football. Au cours des</w:t>
      </w:r>
      <w:r w:rsidR="0062778C" w:rsidRPr="00EF4F1B">
        <w:t xml:space="preserve"> </w:t>
      </w:r>
      <w:r w:rsidRPr="00EF4F1B">
        <w:t>diverses étapes de l'histoire, telles que la lutte pour l'indépendance, pour la République, et le défilé récent contre la violence à Rio de Janeiro, on perçoit toujours des idées de libération et d’optimisme. Cependant, les Brésiliens sont également conservateurs, en particulier dans les rapports qu’ils entretiennent avec la religion.</w:t>
      </w:r>
    </w:p>
    <w:p w:rsidR="00D4549F" w:rsidRPr="00EF4F1B" w:rsidRDefault="00D4549F" w:rsidP="00EF4F1B">
      <w:pPr>
        <w:spacing w:after="240" w:line="276" w:lineRule="auto"/>
        <w:jc w:val="both"/>
      </w:pPr>
      <w:r w:rsidRPr="00EF4F1B">
        <w:t>Comme d'autres cultures vivant sous un climat tropical, les Brésiliens ont des loisirs orientés. Le jour ouvrable est normalement de huit heures, du lundi au vendredi. Sans compter les vacances statutaires, le carnaval annuel cause un arrêt de travail dans toutes les entreprises du</w:t>
      </w:r>
      <w:r w:rsidR="0062778C" w:rsidRPr="00EF4F1B">
        <w:t xml:space="preserve"> </w:t>
      </w:r>
      <w:r w:rsidRPr="00EF4F1B">
        <w:t>lundi au mercredi. Les activités récréatives se passent principalement</w:t>
      </w:r>
      <w:r w:rsidR="0062778C" w:rsidRPr="00EF4F1B">
        <w:t xml:space="preserve"> </w:t>
      </w:r>
      <w:r w:rsidRPr="00EF4F1B">
        <w:t>à l’extérieur, grâce au climat tropical.</w:t>
      </w:r>
    </w:p>
    <w:p w:rsidR="00D4549F" w:rsidRPr="00EF4F1B" w:rsidRDefault="00D4549F" w:rsidP="00EF4F1B">
      <w:pPr>
        <w:keepNext/>
        <w:spacing w:before="120" w:after="120"/>
        <w:jc w:val="both"/>
        <w:rPr>
          <w:bCs/>
          <w:sz w:val="32"/>
          <w:szCs w:val="32"/>
        </w:rPr>
      </w:pPr>
      <w:r w:rsidRPr="00EF4F1B">
        <w:rPr>
          <w:bCs/>
          <w:sz w:val="32"/>
          <w:szCs w:val="32"/>
        </w:rPr>
        <w:t>La société</w:t>
      </w:r>
    </w:p>
    <w:p w:rsidR="00D4549F" w:rsidRPr="00EF4F1B" w:rsidRDefault="00D4549F" w:rsidP="00EF4F1B">
      <w:pPr>
        <w:spacing w:after="240" w:line="276" w:lineRule="auto"/>
        <w:jc w:val="both"/>
      </w:pPr>
      <w:r w:rsidRPr="00EF4F1B">
        <w:t>Sous un système démocratique, la société est toujours fortement stratifiée et est composée d’un petit groupe d’affaires d'élite et de propriétaires</w:t>
      </w:r>
      <w:r w:rsidR="0062778C" w:rsidRPr="00EF4F1B">
        <w:t xml:space="preserve"> </w:t>
      </w:r>
      <w:r w:rsidRPr="00EF4F1B">
        <w:t>fonciers contrôlant la direction des plus grandes politiques. Le congrès est dominé par les Blancs. Un siècle après l'abolition de l'esclavage, les Noirs sont toujours très peu représentés, très peu instruits et mal logés.</w:t>
      </w:r>
    </w:p>
    <w:p w:rsidR="00712CB4" w:rsidRDefault="00D4549F" w:rsidP="00712CB4">
      <w:pPr>
        <w:spacing w:after="240" w:line="276" w:lineRule="auto"/>
        <w:jc w:val="both"/>
        <w:rPr>
          <w:bCs/>
          <w:sz w:val="44"/>
          <w:szCs w:val="36"/>
        </w:rPr>
      </w:pPr>
      <w:r w:rsidRPr="00EF4F1B">
        <w:t xml:space="preserve">L'unité de base de la société diffère selon les différentes régions. L'individualisme domine dans le sud fortement industrialisé où les gens bénéficient </w:t>
      </w:r>
      <w:r w:rsidR="0062778C" w:rsidRPr="00EF4F1B">
        <w:t>d’une</w:t>
      </w:r>
      <w:r w:rsidRPr="00EF4F1B">
        <w:t xml:space="preserve"> plus grande mobilité sociale. Cependant, dans les régions nordiques rurales, la grande unité de production agricole traditionnelle est le système social de base. Elle est caractérisée</w:t>
      </w:r>
      <w:r w:rsidR="0062778C" w:rsidRPr="00EF4F1B">
        <w:t xml:space="preserve"> </w:t>
      </w:r>
      <w:r w:rsidRPr="00EF4F1B">
        <w:t>par le système dualistique, avec les propriétaires</w:t>
      </w:r>
      <w:r w:rsidR="0062778C" w:rsidRPr="00EF4F1B">
        <w:t xml:space="preserve"> </w:t>
      </w:r>
      <w:r w:rsidRPr="00EF4F1B">
        <w:t xml:space="preserve">en haut et tous les autres en bas. Dans le modèle traditionnel de société agricole, les tout puissants fazendeiros ont progressivement étendu leur pouvoir au sein du système politique au point d’orienter les décisions gouvernementales à leur avantage. C'est pourquoi le gouvernement actuel fait face à une grande résistance en ce qui concerne la réforme des terres du nord. Les modes de rapports hiérarchiques sont étroitement attachés au clientélisme, type de rapports où les supérieurs assurent certaines faveurs à ceux qui leur sont inférieurs, instaurant un climat marqué par des dettes et des obligations morales avec pour contrepartie une certaine stabilité du marché de l’emploi ou, en cas de refus, </w:t>
      </w:r>
      <w:r w:rsidR="000204E6" w:rsidRPr="00EF4F1B">
        <w:t>une</w:t>
      </w:r>
      <w:r w:rsidRPr="00EF4F1B">
        <w:t xml:space="preserve"> raréfaction des emplois. D'autre part, dans des contextes urbains avec des taux de chômage élevés, des possibilités d'emploi sont fournies en échange de la fidélité et du soutien lors des élections. Un tel concept de famille étendue constitue la base des rapports humains au Brésil.</w:t>
      </w:r>
      <w:r w:rsidR="00712CB4">
        <w:rPr>
          <w:bCs/>
          <w:sz w:val="44"/>
          <w:szCs w:val="36"/>
        </w:rPr>
        <w:br w:type="page"/>
      </w:r>
    </w:p>
    <w:p w:rsidR="00D4549F" w:rsidRPr="00EF4F1B" w:rsidRDefault="00D4549F" w:rsidP="00EF4F1B">
      <w:pPr>
        <w:spacing w:before="360" w:after="120"/>
        <w:jc w:val="both"/>
        <w:rPr>
          <w:bCs/>
          <w:smallCaps/>
          <w:sz w:val="44"/>
          <w:szCs w:val="36"/>
        </w:rPr>
      </w:pPr>
      <w:r w:rsidRPr="00EF4F1B">
        <w:rPr>
          <w:bCs/>
          <w:smallCaps/>
          <w:sz w:val="44"/>
          <w:szCs w:val="36"/>
        </w:rPr>
        <w:lastRenderedPageBreak/>
        <w:t>Stratégie nationale</w:t>
      </w:r>
    </w:p>
    <w:p w:rsidR="00D4549F" w:rsidRPr="00EF4F1B" w:rsidRDefault="00D4549F" w:rsidP="00EF4F1B">
      <w:pPr>
        <w:keepNext/>
        <w:spacing w:before="120" w:after="120"/>
        <w:jc w:val="both"/>
        <w:rPr>
          <w:sz w:val="32"/>
          <w:szCs w:val="32"/>
        </w:rPr>
      </w:pPr>
      <w:r w:rsidRPr="00EF4F1B">
        <w:rPr>
          <w:sz w:val="32"/>
          <w:szCs w:val="32"/>
        </w:rPr>
        <w:t>Cadre institutionnel</w:t>
      </w:r>
    </w:p>
    <w:p w:rsidR="00D4549F" w:rsidRPr="00EF4F1B" w:rsidRDefault="00D4549F" w:rsidP="00EF4F1B">
      <w:pPr>
        <w:spacing w:after="240" w:line="276" w:lineRule="auto"/>
        <w:jc w:val="both"/>
      </w:pPr>
      <w:r w:rsidRPr="00EF4F1B">
        <w:t>L’Exécutif</w:t>
      </w:r>
      <w:r w:rsidR="0062778C" w:rsidRPr="00EF4F1B">
        <w:t xml:space="preserve"> </w:t>
      </w:r>
      <w:r w:rsidRPr="00EF4F1B">
        <w:t xml:space="preserve">est responsable en grande partie de formuler et de mettre en </w:t>
      </w:r>
      <w:r w:rsidR="00756E5E" w:rsidRPr="00EF4F1B">
        <w:t>œuvre</w:t>
      </w:r>
      <w:r w:rsidRPr="00EF4F1B">
        <w:t xml:space="preserve"> la politique commerciale et industrielle. Le gouvernement actuel a éliminé et simplifié un grand nombre de règlements en négociant avec le commerce spécifique et les réductions fiscales qui sont généralement compliquées. Le code complexe d'investissement a également été simplifié et libéralisé, quoique quelques contraintes demeurent toujours présentes.</w:t>
      </w:r>
    </w:p>
    <w:p w:rsidR="00D4549F" w:rsidRPr="00EF4F1B" w:rsidRDefault="00D4549F" w:rsidP="00EF4F1B">
      <w:pPr>
        <w:spacing w:after="240" w:line="276" w:lineRule="auto"/>
        <w:jc w:val="both"/>
      </w:pPr>
      <w:r w:rsidRPr="00EF4F1B">
        <w:t>L'agence d'économie principale est le Ministère de l'Économie, des Finances et de la Planification (MEFP) dirigé par Pedro Malan. Sous ses ordres, les agences régulatrices principales d'affaires sont composées de: BACEN-Banque Centrale (politique monétaire,</w:t>
      </w:r>
      <w:r w:rsidR="00B00993" w:rsidRPr="00EF4F1B">
        <w:t xml:space="preserve"> </w:t>
      </w:r>
      <w:r w:rsidRPr="00EF4F1B">
        <w:t xml:space="preserve">contrôle des devises étrangères , contrôle des capitaux étrangers et versements de bénéfices, règlement de banques et institutions financières), CONSEIL ADMINISTRATIF DE BARIL pour la Défense Économique (monopole, cartel, contrôle </w:t>
      </w:r>
      <w:proofErr w:type="spellStart"/>
      <w:r w:rsidR="00C839DE" w:rsidRPr="00EF4F1B">
        <w:t>antimonopole</w:t>
      </w:r>
      <w:proofErr w:type="spellEnd"/>
      <w:r w:rsidRPr="00EF4F1B">
        <w:t>), INPI-Institut National de Propriété Industrielle (développement technologique), CDI- Conseil de Développement industriel (développement industriel, octroi de primes fiscales) et DECEX-Département du Commerce Extérieur (commerce extérieur, contrôle d'exportation et licences d'importation).</w:t>
      </w:r>
    </w:p>
    <w:p w:rsidR="00D4549F" w:rsidRPr="00EF4F1B" w:rsidRDefault="00D4549F" w:rsidP="00EF4F1B">
      <w:pPr>
        <w:spacing w:after="240" w:line="276" w:lineRule="auto"/>
        <w:jc w:val="both"/>
      </w:pPr>
      <w:r w:rsidRPr="00EF4F1B">
        <w:t>Dans la formulation de politique économique, le gouvernement maintient des contacts avec le secteur privé qui peut contribuer au processus par sa participation dans des chambres spectrales et des comités spéciaux. De plus, l'institut de recherches fournit parfois des révisions de politiques.</w:t>
      </w:r>
    </w:p>
    <w:p w:rsidR="00D4549F" w:rsidRPr="00EF4F1B" w:rsidRDefault="00D4549F" w:rsidP="00EF4F1B">
      <w:pPr>
        <w:keepNext/>
        <w:spacing w:before="120" w:after="120"/>
        <w:jc w:val="both"/>
        <w:rPr>
          <w:sz w:val="32"/>
          <w:szCs w:val="32"/>
        </w:rPr>
      </w:pPr>
      <w:r w:rsidRPr="00EF4F1B">
        <w:rPr>
          <w:sz w:val="32"/>
          <w:szCs w:val="32"/>
        </w:rPr>
        <w:t xml:space="preserve">Politique </w:t>
      </w:r>
      <w:r w:rsidRPr="00EF4F1B">
        <w:rPr>
          <w:bCs/>
          <w:sz w:val="32"/>
          <w:szCs w:val="36"/>
        </w:rPr>
        <w:t>économique</w:t>
      </w:r>
      <w:r w:rsidRPr="00EF4F1B">
        <w:rPr>
          <w:sz w:val="32"/>
          <w:szCs w:val="32"/>
        </w:rPr>
        <w:t xml:space="preserve"> et défis</w:t>
      </w:r>
    </w:p>
    <w:p w:rsidR="00D4549F" w:rsidRPr="00EF4F1B" w:rsidRDefault="00D4549F" w:rsidP="00EF4F1B">
      <w:pPr>
        <w:spacing w:after="240" w:line="276" w:lineRule="auto"/>
        <w:jc w:val="both"/>
      </w:pPr>
      <w:r w:rsidRPr="00EF4F1B">
        <w:t>Jusqu'aux réformes récentes, l'économie était soumise à un vaste règlement qui interdisait les opérations d'une économie de marché concurrentielle. Depuis 1990, le Brésil a entrepris un grand effort de libéralisation se concentrant sur la libéralisation du commerce, la dérèglementation et la privatisation. L'économie actuelle est essentiellement une économie de libre entreprise, mais il y a encore une participation étatisée et semi-étatisée considérable dans des secteurs stratégiques divers. Le Programme de Privatisation National a été ordonné il y a quelques années</w:t>
      </w:r>
      <w:r w:rsidR="00B00993" w:rsidRPr="00EF4F1B">
        <w:t xml:space="preserve"> </w:t>
      </w:r>
      <w:r w:rsidRPr="00EF4F1B">
        <w:t>afin de privatiser</w:t>
      </w:r>
      <w:r w:rsidR="0062778C" w:rsidRPr="00EF4F1B">
        <w:t xml:space="preserve"> </w:t>
      </w:r>
      <w:r w:rsidRPr="00EF4F1B">
        <w:t>un certain nombre d’entreprises autrefois étatisées,</w:t>
      </w:r>
      <w:r w:rsidR="0062778C" w:rsidRPr="00EF4F1B">
        <w:t xml:space="preserve"> </w:t>
      </w:r>
      <w:r w:rsidRPr="00EF4F1B">
        <w:t xml:space="preserve">en particulier les industries de l’acier et pétrochimiques. En juillet 1995, la Chambre basse du Congrès a accepté les Amendements Constitutionnels qui ouvriront le pétrole, l'extraction des mines, l'énergie électrique et les télécommunications à l'investissement privé et étranger. </w:t>
      </w:r>
    </w:p>
    <w:p w:rsidR="00D4549F" w:rsidRPr="00EF4F1B" w:rsidRDefault="00D4549F" w:rsidP="00EF4F1B">
      <w:pPr>
        <w:spacing w:after="240" w:line="276" w:lineRule="auto"/>
        <w:jc w:val="both"/>
      </w:pPr>
      <w:r w:rsidRPr="00EF4F1B">
        <w:t>Un des plus grands succès de la réforme récente est le Real, la dernière monnaie du Brésil. Introduite pour indexer les prix et</w:t>
      </w:r>
      <w:r w:rsidR="0062778C" w:rsidRPr="00EF4F1B">
        <w:t xml:space="preserve"> </w:t>
      </w:r>
      <w:r w:rsidRPr="00EF4F1B">
        <w:t xml:space="preserve">faire diminuer l'inflation, le Real et les mesures </w:t>
      </w:r>
      <w:r w:rsidRPr="00EF4F1B">
        <w:lastRenderedPageBreak/>
        <w:t>l’accompagnant ont apporté une énorme croissance et un déluge de nouveaux investissements : 12 multinationales à elles seules prévoient de dépenser</w:t>
      </w:r>
      <w:r w:rsidR="0062778C" w:rsidRPr="00EF4F1B">
        <w:t xml:space="preserve"> </w:t>
      </w:r>
      <w:r w:rsidRPr="00EF4F1B">
        <w:t xml:space="preserve">8 milliards de $ avant 2000. De façon plus significative, l'inflation est tombée, de 3000 % en 1989 à 30 % en 1995. Cependant, la force de la monnaie a encouragé des importations et le Brésil fait face à un déficit commercial : 3.2 milliards de $ en 1995. Le gouvernement a répondu en dévaluant la monnaie et en freinant l’importation, des tarifs et des quotas sur des importations de </w:t>
      </w:r>
      <w:r w:rsidR="00C839DE" w:rsidRPr="00EF4F1B">
        <w:t>voitures</w:t>
      </w:r>
      <w:r w:rsidRPr="00EF4F1B">
        <w:t>.</w:t>
      </w:r>
    </w:p>
    <w:p w:rsidR="00D4549F" w:rsidRPr="00EF4F1B" w:rsidRDefault="00D4549F" w:rsidP="00EF4F1B">
      <w:pPr>
        <w:keepNext/>
        <w:spacing w:before="120" w:after="120"/>
        <w:jc w:val="both"/>
        <w:rPr>
          <w:bCs/>
          <w:sz w:val="32"/>
          <w:szCs w:val="36"/>
        </w:rPr>
      </w:pPr>
      <w:r w:rsidRPr="00EF4F1B">
        <w:rPr>
          <w:bCs/>
          <w:sz w:val="32"/>
          <w:szCs w:val="36"/>
        </w:rPr>
        <w:t xml:space="preserve">Modèle Commercial Général </w:t>
      </w:r>
    </w:p>
    <w:p w:rsidR="00D4549F" w:rsidRPr="00EF4F1B" w:rsidRDefault="00D4549F" w:rsidP="00EF4F1B">
      <w:pPr>
        <w:spacing w:after="240" w:line="276" w:lineRule="auto"/>
        <w:jc w:val="both"/>
      </w:pPr>
      <w:r w:rsidRPr="00EF4F1B">
        <w:t>Les secteurs des ressources naturelles et de l'agriculture ont été les</w:t>
      </w:r>
      <w:r w:rsidR="0062778C" w:rsidRPr="00EF4F1B">
        <w:t xml:space="preserve"> </w:t>
      </w:r>
      <w:r w:rsidRPr="00EF4F1B">
        <w:t xml:space="preserve">traditionnelles bases de l'économie du Brésil; ils reposaient sur une abondante </w:t>
      </w:r>
      <w:r w:rsidR="00B00993" w:rsidRPr="00EF4F1B">
        <w:t>main-d’œuvre</w:t>
      </w:r>
      <w:r w:rsidRPr="00EF4F1B">
        <w:t xml:space="preserve"> principalement le résultat de la monarchie coloniale pour laquelle l'infrastructure a été construite</w:t>
      </w:r>
      <w:r w:rsidR="00B00993" w:rsidRPr="00EF4F1B">
        <w:t xml:space="preserve"> </w:t>
      </w:r>
      <w:r w:rsidRPr="00EF4F1B">
        <w:t>afin de fournir des ressources pour les industries de la mère patrie. Depuis les années 1960, cependant, l'accent a été</w:t>
      </w:r>
      <w:r w:rsidR="0062778C" w:rsidRPr="00EF4F1B">
        <w:t xml:space="preserve"> </w:t>
      </w:r>
      <w:r w:rsidRPr="00EF4F1B">
        <w:t>mis sur le développement industriel financé principalement par des prêts internationaux. En conséquence, les exportations reflètent aujourd'hui un mélange beaucoup plus</w:t>
      </w:r>
      <w:r w:rsidR="0062778C" w:rsidRPr="00EF4F1B">
        <w:t xml:space="preserve"> </w:t>
      </w:r>
      <w:r w:rsidRPr="00EF4F1B">
        <w:t>équilibré de matières premières et de produits finis.</w:t>
      </w:r>
    </w:p>
    <w:p w:rsidR="00D4549F" w:rsidRPr="00EF4F1B" w:rsidRDefault="00D4549F" w:rsidP="00EF4F1B">
      <w:pPr>
        <w:spacing w:after="240" w:line="276" w:lineRule="auto"/>
        <w:jc w:val="both"/>
      </w:pPr>
      <w:r w:rsidRPr="00EF4F1B">
        <w:t>Après la crise de l’endettement de 1982, l'entretien de la dette étrangère du Brésil a exigé la création de grands excédents commerciaux, ce qui a été réalisé par la contraction de l’importation. Entre 1982 et 1990 la valeur des importations est tombée de 7 % à 4 % du GDP. Avec la baisse des barrières commerciales, le profil change. Une zone de libre-échange a été aussi fondée à Manaus, ville située dans le nord du pays afin</w:t>
      </w:r>
      <w:r w:rsidR="0062778C" w:rsidRPr="00EF4F1B">
        <w:t xml:space="preserve"> </w:t>
      </w:r>
      <w:r w:rsidRPr="00EF4F1B">
        <w:t xml:space="preserve">d’attirer les affaires dans l’État d'Amazonas. </w:t>
      </w:r>
    </w:p>
    <w:p w:rsidR="00D4549F" w:rsidRPr="00EF4F1B" w:rsidRDefault="00D4549F" w:rsidP="00EF4F1B">
      <w:pPr>
        <w:spacing w:after="240" w:line="276" w:lineRule="auto"/>
        <w:jc w:val="both"/>
      </w:pPr>
      <w:r w:rsidRPr="00EF4F1B">
        <w:t>Les partenaires commerciaux de premier plan sont les Communautés européennes, les États-Unis, le Japon et l'Argentine. Pendant la dernière décennie, la direction des exportations s’est déplacée vers les États-Unis et les pays en voie de développement, particulièrement l'Asie orientale. La part des pays latino-américains a baissé de 18 % aux environs de 12 %, reflétant les conditions économiques instables de ces marchés. Les importations proviennent également surtout</w:t>
      </w:r>
      <w:r w:rsidR="0062778C" w:rsidRPr="00EF4F1B">
        <w:t xml:space="preserve"> </w:t>
      </w:r>
      <w:r w:rsidRPr="00EF4F1B">
        <w:t>des États-Unis et de l'Europe.</w:t>
      </w:r>
      <w:r w:rsidR="0062778C" w:rsidRPr="00EF4F1B">
        <w:t xml:space="preserve"> </w:t>
      </w:r>
      <w:r w:rsidRPr="00EF4F1B">
        <w:t xml:space="preserve">En Amérique </w:t>
      </w:r>
      <w:r w:rsidR="00C839DE" w:rsidRPr="00EF4F1B">
        <w:t>latine</w:t>
      </w:r>
      <w:r w:rsidRPr="00EF4F1B">
        <w:t>,</w:t>
      </w:r>
      <w:r w:rsidR="0062778C" w:rsidRPr="00EF4F1B">
        <w:t xml:space="preserve"> </w:t>
      </w:r>
      <w:r w:rsidRPr="00EF4F1B">
        <w:t>les pays adhérents du MERCOSUL</w:t>
      </w:r>
      <w:r w:rsidR="0062778C" w:rsidRPr="00EF4F1B">
        <w:t xml:space="preserve"> </w:t>
      </w:r>
      <w:r w:rsidRPr="00EF4F1B">
        <w:t>et le Chili sont les fournisseurs principaux.</w:t>
      </w:r>
    </w:p>
    <w:p w:rsidR="00D4549F" w:rsidRPr="00EF4F1B" w:rsidRDefault="00D4549F" w:rsidP="00EF4F1B">
      <w:pPr>
        <w:spacing w:after="240" w:line="276" w:lineRule="auto"/>
        <w:jc w:val="both"/>
      </w:pPr>
      <w:r w:rsidRPr="00EF4F1B">
        <w:t>Le Brésil est membre de l'Association d'Intégration latino-américaine (LAIA) et un des membres fondateurs de l'Accord Général sur les Tarifs et le Commerce (GATT). On accorde des préférences tarifaires spéciales aux importations des membres du LAIA et du Système Global de Préférences Commerciales parmi des pays en voie de développement (GSTP). Ce pays est aussi membre du Marché commun du Sud</w:t>
      </w:r>
      <w:r w:rsidR="0062778C" w:rsidRPr="00EF4F1B">
        <w:t xml:space="preserve"> </w:t>
      </w:r>
      <w:r w:rsidRPr="00EF4F1B">
        <w:t>(MERCOSUL), un accord entre le Brésil, l'Argentine, le Paraguay et l'Uruguay visant à éliminer graduellement tous les tarifs en 1995. Il existe aussi un</w:t>
      </w:r>
      <w:r w:rsidR="0062778C" w:rsidRPr="00EF4F1B">
        <w:t xml:space="preserve"> </w:t>
      </w:r>
      <w:r w:rsidRPr="00EF4F1B">
        <w:t>accord bilatéral Brésil-Argentine qui augmenterait le commerce entre les deux nations. Le succès de ces accords régionaux peut augmenter la chance d'un futur tarif externe commun</w:t>
      </w:r>
      <w:r w:rsidR="005B3EBC" w:rsidRPr="00EF4F1B">
        <w:t>.</w:t>
      </w:r>
    </w:p>
    <w:p w:rsidR="00D4549F" w:rsidRPr="00EF4F1B" w:rsidRDefault="00D4549F" w:rsidP="00EF4F1B">
      <w:pPr>
        <w:keepNext/>
        <w:spacing w:before="120" w:after="120"/>
        <w:jc w:val="both"/>
        <w:rPr>
          <w:bCs/>
          <w:sz w:val="32"/>
          <w:szCs w:val="36"/>
        </w:rPr>
      </w:pPr>
      <w:r w:rsidRPr="00EF4F1B">
        <w:rPr>
          <w:bCs/>
          <w:sz w:val="32"/>
          <w:szCs w:val="36"/>
        </w:rPr>
        <w:lastRenderedPageBreak/>
        <w:t>Investissements étrangers</w:t>
      </w:r>
    </w:p>
    <w:p w:rsidR="00D4549F" w:rsidRPr="00EF4F1B" w:rsidRDefault="00D4549F" w:rsidP="00EF4F1B">
      <w:pPr>
        <w:spacing w:after="240" w:line="276" w:lineRule="auto"/>
        <w:jc w:val="both"/>
      </w:pPr>
      <w:r w:rsidRPr="00EF4F1B">
        <w:t>La Constitution stipule que les investissements étrangers devraient favoriser les intérêts nationaux; ces investissements sont particulièrement bien accueillis lorsqu’ils représentent un engagement à long terme en vue d’</w:t>
      </w:r>
      <w:r w:rsidR="00C839DE" w:rsidRPr="00EF4F1B">
        <w:t>accroitre</w:t>
      </w:r>
      <w:r w:rsidRPr="00EF4F1B">
        <w:t xml:space="preserve"> le développement économique. Les secteurs particulièrement considérés sur le plan local couvrent le développement de l'agriculture, des technologies, les industries qui offrent des perspectives d’emplois, ainsi que les entreprises manufacturières de produits habituellement importés ou bien de produits destinés à augmenter les exportations. Des investisseurs étrangers peuvent aussi participer au Programme de Privatisation national en convertissant des titres étrangers brésiliens de dettes, ou en souscrivant aux fonds de privatisation. </w:t>
      </w:r>
    </w:p>
    <w:p w:rsidR="00D4549F" w:rsidRPr="00EF4F1B" w:rsidRDefault="00D4549F" w:rsidP="00EF4F1B">
      <w:pPr>
        <w:spacing w:after="240" w:line="276" w:lineRule="auto"/>
        <w:jc w:val="both"/>
      </w:pPr>
      <w:r w:rsidRPr="00EF4F1B">
        <w:t xml:space="preserve">Bien qu'il n'existe aucun avantage fiscal fédéral pour attirer le capital étranger, beaucoup d'états ainsi que le gouvernement local offrent des réductions d'impôts particulièrement dans les régions plus pauvres du nord-est et de </w:t>
      </w:r>
      <w:r w:rsidR="00C839DE" w:rsidRPr="00EF4F1B">
        <w:t>l’</w:t>
      </w:r>
      <w:r w:rsidRPr="00EF4F1B">
        <w:t>Amazonie. À part les susdits avantages fiscaux, toutes les sociétés sont soumises à l'impôt sur le revenu de société de 26 %.</w:t>
      </w:r>
    </w:p>
    <w:p w:rsidR="00D4549F" w:rsidRPr="00EF4F1B" w:rsidRDefault="00D4549F" w:rsidP="00EF4F1B">
      <w:pPr>
        <w:spacing w:after="240" w:line="276" w:lineRule="auto"/>
        <w:jc w:val="both"/>
      </w:pPr>
      <w:r w:rsidRPr="00EF4F1B">
        <w:t>Il y a un contrôle fort sur</w:t>
      </w:r>
      <w:r w:rsidR="0062778C" w:rsidRPr="00EF4F1B">
        <w:t xml:space="preserve"> </w:t>
      </w:r>
      <w:r w:rsidRPr="00EF4F1B">
        <w:t xml:space="preserve">la transaction des devises étrangères qui est dirigé par le Conseil Monétaire national. Tous les prêts de devises étrangères doivent être approuvés par la Banque centrale. Quand le Brésil manque de devises étrangères, la Banque centrale centralise tout le rapatriement des devises étrangères et des demandes de remise et sort des devises étrangères quand cela devient disponible. Par conséquent, des retards se produisent, quoique la Banque paye des rémunérations d'intérêt. </w:t>
      </w:r>
    </w:p>
    <w:p w:rsidR="00D4549F" w:rsidRPr="00EF4F1B" w:rsidRDefault="00D4549F" w:rsidP="00EF4F1B">
      <w:pPr>
        <w:spacing w:after="240" w:line="276" w:lineRule="auto"/>
        <w:jc w:val="both"/>
      </w:pPr>
      <w:r w:rsidRPr="00EF4F1B">
        <w:t>La propriété étrangère est limitée dans certaines industries considérées comme stratégiquement importantes. Celles-ci incluent les communications, l'aviation, la défense, les contrats gouvernementaux, le chargement côtier et d'eau douce, les institutions financières et les sociétés privées. En dehors de celles-ci, on permet généralement aux sociétés étrangères</w:t>
      </w:r>
      <w:r w:rsidR="0062778C" w:rsidRPr="00EF4F1B">
        <w:t xml:space="preserve"> </w:t>
      </w:r>
      <w:r w:rsidRPr="00EF4F1B">
        <w:t>d'être propriétaires à 100 %. Conformément à la Constitution, des sociétés aux capitaux nationaux peuvent également recevoir la protection provisoire du marché ou des bénéfices dans des activités considérées comme</w:t>
      </w:r>
      <w:r w:rsidR="0062778C" w:rsidRPr="00EF4F1B">
        <w:t xml:space="preserve"> </w:t>
      </w:r>
      <w:r w:rsidRPr="00EF4F1B">
        <w:t xml:space="preserve">importantes ou de développement national. Il y a limitation sur la terre rurale, mais aucune restriction sur la propriété de la terre urbaine et des bâtiments. </w:t>
      </w:r>
    </w:p>
    <w:p w:rsidR="00D4549F" w:rsidRPr="00EF4F1B" w:rsidRDefault="00D4549F" w:rsidP="00EF4F1B">
      <w:pPr>
        <w:spacing w:after="240" w:line="276" w:lineRule="auto"/>
        <w:jc w:val="both"/>
      </w:pPr>
      <w:r w:rsidRPr="00EF4F1B">
        <w:t>Les marchés de sécurité sont disponibles avec les Bourses principales à Sao Paulo et Rio de Janeiro. Toutes les émissions publiques de titres doivent être enregistrées avec la Commission des Titres (CVM). Le processus d'enregistrement peut prendre beaucoup de temps. Les opérations de banque et de financement sont réglées par la Banque Centrale. Dans le secteur privé,</w:t>
      </w:r>
      <w:r w:rsidR="0062778C" w:rsidRPr="00EF4F1B">
        <w:t xml:space="preserve"> </w:t>
      </w:r>
      <w:r w:rsidRPr="00EF4F1B">
        <w:t>des banques plus importantes ont été organisées dans des conglomérats financiers et elles sont capables d'offrir une gamme complète de services financiers par l'intermédiaire de sociétés subsidiaires et associées. Il faut noter</w:t>
      </w:r>
      <w:r w:rsidR="0062778C" w:rsidRPr="00EF4F1B">
        <w:t xml:space="preserve"> </w:t>
      </w:r>
      <w:r w:rsidRPr="00EF4F1B">
        <w:t>que le Brésil n'est pas un centre financier international.</w:t>
      </w:r>
    </w:p>
    <w:p w:rsidR="00D4549F" w:rsidRPr="00EF4F1B" w:rsidRDefault="00D4549F" w:rsidP="00EF4F1B">
      <w:pPr>
        <w:spacing w:line="276" w:lineRule="auto"/>
        <w:jc w:val="both"/>
      </w:pPr>
      <w:r w:rsidRPr="00EF4F1B">
        <w:lastRenderedPageBreak/>
        <w:t>Les importations ont été généralement soumises à des tarifs élevés, mais elles commencent à</w:t>
      </w:r>
      <w:r w:rsidR="0062778C" w:rsidRPr="00EF4F1B">
        <w:t xml:space="preserve"> </w:t>
      </w:r>
      <w:r w:rsidRPr="00EF4F1B">
        <w:t>diminuer. Le taux des droits d'importation maximal aurait été réduit à 40 % vers la fin de 1994 et le taux modal</w:t>
      </w:r>
      <w:r w:rsidR="0062778C" w:rsidRPr="00EF4F1B">
        <w:t xml:space="preserve"> </w:t>
      </w:r>
      <w:r w:rsidRPr="00EF4F1B">
        <w:t xml:space="preserve">prévu à 20 %. Les procédures d'importation ont également été déréglées. </w:t>
      </w:r>
    </w:p>
    <w:p w:rsidR="00D4549F" w:rsidRPr="00EF4F1B" w:rsidRDefault="00D4549F" w:rsidP="00EF4F1B">
      <w:pPr>
        <w:spacing w:after="240" w:line="276" w:lineRule="auto"/>
        <w:jc w:val="both"/>
      </w:pPr>
      <w:r w:rsidRPr="00EF4F1B">
        <w:t>En plus de l'impôt sur les sociétés de 26 %, un impôt de 15 % est aussi chargé sur les dividendes. Bien qu'une société puisse être complètement sous contrôle étranger, la participation du capital local est favorisée par les autorités. Le directeur de la société doit posséder un visa permanent et être domicilié au Brésil, même si la nationalité</w:t>
      </w:r>
      <w:r w:rsidR="0062778C" w:rsidRPr="00EF4F1B">
        <w:t xml:space="preserve"> </w:t>
      </w:r>
      <w:r w:rsidRPr="00EF4F1B">
        <w:t>n’est pas une restriction.</w:t>
      </w:r>
    </w:p>
    <w:p w:rsidR="00D4549F" w:rsidRPr="00EF4F1B" w:rsidRDefault="00D4549F" w:rsidP="00EF4F1B">
      <w:pPr>
        <w:spacing w:after="240" w:line="276" w:lineRule="auto"/>
        <w:jc w:val="both"/>
      </w:pPr>
      <w:r w:rsidRPr="00EF4F1B">
        <w:t xml:space="preserve">La </w:t>
      </w:r>
      <w:r w:rsidR="00756E5E" w:rsidRPr="00EF4F1B">
        <w:t>main-d’œuvre</w:t>
      </w:r>
      <w:r w:rsidRPr="00EF4F1B">
        <w:t xml:space="preserve"> est environ de 62 millions, ou</w:t>
      </w:r>
      <w:r w:rsidR="0062778C" w:rsidRPr="00EF4F1B">
        <w:t xml:space="preserve"> </w:t>
      </w:r>
      <w:r w:rsidRPr="00EF4F1B">
        <w:t>41 % de la population. Les femmes englobent 35 % du total et il est prévu que ce pourcentage augmente. Tous les employeurs,</w:t>
      </w:r>
      <w:r w:rsidR="0062778C" w:rsidRPr="00EF4F1B">
        <w:t xml:space="preserve"> </w:t>
      </w:r>
      <w:r w:rsidRPr="00EF4F1B">
        <w:t>à quelques exceptions près, doivent</w:t>
      </w:r>
      <w:r w:rsidR="0062778C" w:rsidRPr="00EF4F1B">
        <w:t xml:space="preserve"> </w:t>
      </w:r>
      <w:r w:rsidRPr="00EF4F1B">
        <w:t xml:space="preserve">employer des Brésiliens dans la proportion d'au moins les </w:t>
      </w:r>
      <w:r w:rsidR="00C839DE" w:rsidRPr="00EF4F1B">
        <w:t>deux tiers</w:t>
      </w:r>
      <w:r w:rsidRPr="00EF4F1B">
        <w:t xml:space="preserve"> de leur personnel total tant en ce qui concerne le nombre qu'en ce qui concerne la rémunération totale.</w:t>
      </w:r>
      <w:r w:rsidR="0062778C" w:rsidRPr="00EF4F1B">
        <w:t xml:space="preserve"> </w:t>
      </w:r>
      <w:r w:rsidRPr="00EF4F1B">
        <w:t xml:space="preserve">On exige d'eux un salaire minimum et les syndicats sont devenus plus actifs particulièrement après les deux jours de grève nationale en 1989. </w:t>
      </w:r>
    </w:p>
    <w:p w:rsidR="00D4549F" w:rsidRPr="00EF4F1B" w:rsidRDefault="00D4549F" w:rsidP="00EF4F1B">
      <w:pPr>
        <w:keepNext/>
        <w:spacing w:before="120" w:after="120"/>
        <w:jc w:val="both"/>
        <w:rPr>
          <w:bCs/>
          <w:sz w:val="32"/>
          <w:szCs w:val="36"/>
        </w:rPr>
      </w:pPr>
      <w:r w:rsidRPr="00EF4F1B">
        <w:rPr>
          <w:bCs/>
          <w:sz w:val="32"/>
          <w:szCs w:val="36"/>
        </w:rPr>
        <w:t>Sociétés canadiennes au Brésil</w:t>
      </w:r>
    </w:p>
    <w:p w:rsidR="00D4549F" w:rsidRPr="00EF4F1B" w:rsidRDefault="00D4549F" w:rsidP="00EF4F1B">
      <w:pPr>
        <w:spacing w:after="240" w:line="276" w:lineRule="auto"/>
        <w:jc w:val="both"/>
      </w:pPr>
      <w:r w:rsidRPr="00EF4F1B">
        <w:t>Pour le monde des affaires canadien, le Brésil offre de grands débouchés grâce à son très grand bassin de consommateurs, sa proximité et ses ressemblances en ce qui concerne la langue et la culture. Avec l’ouverture du gouvernement actuel</w:t>
      </w:r>
      <w:r w:rsidR="0062778C" w:rsidRPr="00EF4F1B">
        <w:t xml:space="preserve"> </w:t>
      </w:r>
      <w:r w:rsidRPr="00EF4F1B">
        <w:t>à la libéralisation économique, le climat d'investissement est favorable.</w:t>
      </w:r>
    </w:p>
    <w:p w:rsidR="00D4549F" w:rsidRPr="00EF4F1B" w:rsidRDefault="00D4549F" w:rsidP="00EF4F1B">
      <w:pPr>
        <w:spacing w:after="240" w:line="276" w:lineRule="auto"/>
        <w:jc w:val="both"/>
      </w:pPr>
      <w:r w:rsidRPr="00EF4F1B">
        <w:t>Les sociétés intéressées devraient être préparées</w:t>
      </w:r>
      <w:r w:rsidR="0062778C" w:rsidRPr="00EF4F1B">
        <w:t xml:space="preserve"> </w:t>
      </w:r>
      <w:r w:rsidRPr="00EF4F1B">
        <w:t>à faire des investissements à</w:t>
      </w:r>
      <w:r w:rsidR="0062778C" w:rsidRPr="00EF4F1B">
        <w:t xml:space="preserve"> </w:t>
      </w:r>
      <w:r w:rsidRPr="00EF4F1B">
        <w:t xml:space="preserve">moyen et long terme soumis à un contrôle des changes serré. La politique du gouvernemental peut être instable. Les précautions devraient être prises par les sociétés traitant avec le gouvernement local en raison de la bureaucratie encombrante et corrompue. Avoir des contacts avec la scène politique est recommandé. De plus, le Brésil possède une base financière et industrielle beaucoup plus primitive et une norme de productivité de travail bien inférieure. La formation d'employés serait une part substantielle d'investissement. </w:t>
      </w:r>
    </w:p>
    <w:p w:rsidR="00712CB4" w:rsidRDefault="00D4549F" w:rsidP="00712CB4">
      <w:pPr>
        <w:spacing w:after="240" w:line="276" w:lineRule="auto"/>
        <w:jc w:val="both"/>
        <w:rPr>
          <w:bCs/>
          <w:sz w:val="44"/>
          <w:szCs w:val="36"/>
        </w:rPr>
      </w:pPr>
      <w:r w:rsidRPr="00EF4F1B">
        <w:t xml:space="preserve">Les industries canadiennes peuvent profiter de la masse importante de travailleurs pour des processus industriels à forte intensité de </w:t>
      </w:r>
      <w:r w:rsidR="00B00993" w:rsidRPr="00EF4F1B">
        <w:t>main-d’œuvre</w:t>
      </w:r>
      <w:r w:rsidRPr="00EF4F1B">
        <w:t xml:space="preserve"> comme le textile et l'électronique. Il existe également de grandes possibilités d’investissement dans l'agriculture, la pêche et les secteurs d'énergie. La population très importante, combinée avec celle des pays adhérant au MERCOSUL,</w:t>
      </w:r>
      <w:r w:rsidR="0062778C" w:rsidRPr="00EF4F1B">
        <w:t xml:space="preserve"> </w:t>
      </w:r>
      <w:r w:rsidRPr="00EF4F1B">
        <w:t xml:space="preserve">constituera un gigantesque bassin de consommateurs pour presque n'importe quel produit. Comme l'inflation et la dette étrangère sous contrôle, le Brésil pourrait accomplir les promesses qu'il a </w:t>
      </w:r>
      <w:r w:rsidR="00C839DE" w:rsidRPr="00EF4F1B">
        <w:t>donné</w:t>
      </w:r>
      <w:r w:rsidRPr="00EF4F1B">
        <w:t xml:space="preserve"> dans les années 1970 en tant que miracle économique parmi les pays en voie de développement.</w:t>
      </w:r>
      <w:r w:rsidR="00712CB4">
        <w:rPr>
          <w:bCs/>
          <w:sz w:val="44"/>
          <w:szCs w:val="36"/>
        </w:rPr>
        <w:br w:type="page"/>
      </w:r>
    </w:p>
    <w:p w:rsidR="00D4549F" w:rsidRPr="00EF4F1B" w:rsidRDefault="00A73A98" w:rsidP="00EF4F1B">
      <w:pPr>
        <w:spacing w:before="360" w:after="120"/>
        <w:jc w:val="both"/>
        <w:rPr>
          <w:bCs/>
          <w:smallCaps/>
          <w:sz w:val="44"/>
          <w:szCs w:val="36"/>
        </w:rPr>
      </w:pPr>
      <w:r w:rsidRPr="00EF4F1B">
        <w:rPr>
          <w:bCs/>
          <w:smallCaps/>
          <w:sz w:val="44"/>
          <w:szCs w:val="36"/>
        </w:rPr>
        <w:lastRenderedPageBreak/>
        <w:t>Quelques statistiques</w:t>
      </w:r>
    </w:p>
    <w:p w:rsidR="00A73A98" w:rsidRPr="00EF4F1B" w:rsidRDefault="00996C03" w:rsidP="00EF4F1B">
      <w:pPr>
        <w:spacing w:after="240" w:line="276" w:lineRule="auto"/>
        <w:jc w:val="both"/>
      </w:pPr>
      <w:r w:rsidRPr="00EF4F1B">
        <w:t xml:space="preserve">Le Brésil est une puissance émergente, il est classé actuellement à la huitième place de l’économie mondiale. Sur les 500 entreprises mondiales en 2009, 6 sont brésiliennes. L’exportation de biens et services est un composant majeur de l’économie brésilienne. </w:t>
      </w:r>
      <w:r w:rsidR="000F0A6E" w:rsidRPr="00EF4F1B">
        <w:t>Sur le plan technologique, le Brésil s’est constitué une industrie capable de rivaliser avec les plus grands en matière de construction automobile (surtout assemblage), navale et aéronautique.</w:t>
      </w:r>
    </w:p>
    <w:tbl>
      <w:tblPr>
        <w:tblStyle w:val="Grilledutableau"/>
        <w:tblW w:w="0" w:type="auto"/>
        <w:jc w:val="center"/>
        <w:tblLook w:val="04A0" w:firstRow="1" w:lastRow="0" w:firstColumn="1" w:lastColumn="0" w:noHBand="0" w:noVBand="1"/>
      </w:tblPr>
      <w:tblGrid>
        <w:gridCol w:w="3381"/>
        <w:gridCol w:w="996"/>
        <w:gridCol w:w="1536"/>
        <w:gridCol w:w="1536"/>
      </w:tblGrid>
      <w:tr w:rsidR="000F0A6E" w:rsidRPr="00EF4F1B" w:rsidTr="00D170EB">
        <w:trPr>
          <w:jc w:val="center"/>
        </w:trPr>
        <w:tc>
          <w:tcPr>
            <w:tcW w:w="3381" w:type="dxa"/>
            <w:shd w:val="clear" w:color="auto" w:fill="BFBFBF" w:themeFill="background1" w:themeFillShade="BF"/>
            <w:vAlign w:val="center"/>
          </w:tcPr>
          <w:p w:rsidR="000F0A6E" w:rsidRPr="00EF4F1B" w:rsidRDefault="000F0A6E" w:rsidP="00EF4F1B">
            <w:pPr>
              <w:jc w:val="both"/>
            </w:pPr>
          </w:p>
        </w:tc>
        <w:tc>
          <w:tcPr>
            <w:tcW w:w="996" w:type="dxa"/>
            <w:shd w:val="clear" w:color="auto" w:fill="BFBFBF" w:themeFill="background1" w:themeFillShade="BF"/>
            <w:vAlign w:val="center"/>
          </w:tcPr>
          <w:p w:rsidR="000F0A6E" w:rsidRPr="00EF4F1B" w:rsidRDefault="000F0A6E" w:rsidP="00EF4F1B">
            <w:pPr>
              <w:jc w:val="both"/>
            </w:pPr>
            <w:r w:rsidRPr="00EF4F1B">
              <w:t>2008</w:t>
            </w:r>
          </w:p>
        </w:tc>
        <w:tc>
          <w:tcPr>
            <w:tcW w:w="1536" w:type="dxa"/>
            <w:shd w:val="clear" w:color="auto" w:fill="BFBFBF" w:themeFill="background1" w:themeFillShade="BF"/>
            <w:vAlign w:val="center"/>
          </w:tcPr>
          <w:p w:rsidR="000F0A6E" w:rsidRPr="00EF4F1B" w:rsidRDefault="000F0A6E" w:rsidP="00EF4F1B">
            <w:pPr>
              <w:jc w:val="both"/>
            </w:pPr>
            <w:r w:rsidRPr="00EF4F1B">
              <w:t>2009</w:t>
            </w:r>
            <w:r w:rsidR="00D170EB" w:rsidRPr="00EF4F1B">
              <w:br/>
            </w:r>
            <w:r w:rsidRPr="00EF4F1B">
              <w:t>(Estimation)</w:t>
            </w:r>
          </w:p>
        </w:tc>
        <w:tc>
          <w:tcPr>
            <w:tcW w:w="1536" w:type="dxa"/>
            <w:shd w:val="clear" w:color="auto" w:fill="BFBFBF" w:themeFill="background1" w:themeFillShade="BF"/>
            <w:vAlign w:val="center"/>
          </w:tcPr>
          <w:p w:rsidR="000F0A6E" w:rsidRPr="00EF4F1B" w:rsidRDefault="000F0A6E" w:rsidP="00EF4F1B">
            <w:pPr>
              <w:jc w:val="both"/>
            </w:pPr>
            <w:r w:rsidRPr="00EF4F1B">
              <w:t>2010</w:t>
            </w:r>
            <w:r w:rsidR="00D170EB" w:rsidRPr="00EF4F1B">
              <w:br/>
            </w:r>
            <w:r w:rsidRPr="00EF4F1B">
              <w:t>(Estimation)</w:t>
            </w:r>
          </w:p>
        </w:tc>
      </w:tr>
      <w:tr w:rsidR="000F0A6E" w:rsidRPr="00EF4F1B" w:rsidTr="00D170EB">
        <w:trPr>
          <w:jc w:val="center"/>
        </w:trPr>
        <w:tc>
          <w:tcPr>
            <w:tcW w:w="3381" w:type="dxa"/>
          </w:tcPr>
          <w:p w:rsidR="000F0A6E" w:rsidRPr="00EF4F1B" w:rsidRDefault="000F0A6E" w:rsidP="00EF4F1B">
            <w:pPr>
              <w:jc w:val="both"/>
            </w:pPr>
            <w:r w:rsidRPr="00EF4F1B">
              <w:t>PIB (milliards de $ US)</w:t>
            </w:r>
          </w:p>
        </w:tc>
        <w:tc>
          <w:tcPr>
            <w:tcW w:w="996" w:type="dxa"/>
          </w:tcPr>
          <w:p w:rsidR="000F0A6E" w:rsidRPr="00EF4F1B" w:rsidRDefault="00D170EB" w:rsidP="00EF4F1B">
            <w:pPr>
              <w:jc w:val="both"/>
            </w:pPr>
            <w:r w:rsidRPr="00EF4F1B">
              <w:t>1635,</w:t>
            </w:r>
            <w:r w:rsidR="000F0A6E" w:rsidRPr="00EF4F1B">
              <w:t>5</w:t>
            </w:r>
          </w:p>
        </w:tc>
        <w:tc>
          <w:tcPr>
            <w:tcW w:w="1536" w:type="dxa"/>
          </w:tcPr>
          <w:p w:rsidR="000F0A6E" w:rsidRPr="00EF4F1B" w:rsidRDefault="000F0A6E" w:rsidP="00EF4F1B">
            <w:pPr>
              <w:jc w:val="both"/>
            </w:pPr>
            <w:r w:rsidRPr="00EF4F1B">
              <w:t>1574</w:t>
            </w:r>
          </w:p>
        </w:tc>
        <w:tc>
          <w:tcPr>
            <w:tcW w:w="1536" w:type="dxa"/>
          </w:tcPr>
          <w:p w:rsidR="000F0A6E" w:rsidRPr="00EF4F1B" w:rsidRDefault="00D170EB" w:rsidP="00EF4F1B">
            <w:pPr>
              <w:jc w:val="both"/>
            </w:pPr>
            <w:r w:rsidRPr="00EF4F1B">
              <w:t>1910,</w:t>
            </w:r>
            <w:r w:rsidR="000F0A6E" w:rsidRPr="00EF4F1B">
              <w:t>5</w:t>
            </w:r>
          </w:p>
        </w:tc>
      </w:tr>
      <w:tr w:rsidR="000F0A6E" w:rsidRPr="00EF4F1B" w:rsidTr="00D170EB">
        <w:trPr>
          <w:jc w:val="center"/>
        </w:trPr>
        <w:tc>
          <w:tcPr>
            <w:tcW w:w="3381" w:type="dxa"/>
          </w:tcPr>
          <w:p w:rsidR="000F0A6E" w:rsidRPr="00EF4F1B" w:rsidRDefault="000F0A6E" w:rsidP="00EF4F1B">
            <w:pPr>
              <w:jc w:val="both"/>
            </w:pPr>
            <w:r w:rsidRPr="00EF4F1B">
              <w:t>PIB (croissance annuelle en %)</w:t>
            </w:r>
          </w:p>
        </w:tc>
        <w:tc>
          <w:tcPr>
            <w:tcW w:w="996" w:type="dxa"/>
          </w:tcPr>
          <w:p w:rsidR="000F0A6E" w:rsidRPr="00EF4F1B" w:rsidRDefault="00D170EB" w:rsidP="00EF4F1B">
            <w:pPr>
              <w:jc w:val="both"/>
            </w:pPr>
            <w:r w:rsidRPr="00EF4F1B">
              <w:t>5,</w:t>
            </w:r>
            <w:r w:rsidR="000F0A6E" w:rsidRPr="00EF4F1B">
              <w:t>1</w:t>
            </w:r>
          </w:p>
        </w:tc>
        <w:tc>
          <w:tcPr>
            <w:tcW w:w="1536" w:type="dxa"/>
          </w:tcPr>
          <w:p w:rsidR="000F0A6E" w:rsidRPr="00EF4F1B" w:rsidRDefault="00D170EB" w:rsidP="00EF4F1B">
            <w:pPr>
              <w:jc w:val="both"/>
            </w:pPr>
            <w:r w:rsidRPr="00EF4F1B">
              <w:t>-0,</w:t>
            </w:r>
            <w:r w:rsidR="000F0A6E" w:rsidRPr="00EF4F1B">
              <w:t>2</w:t>
            </w:r>
          </w:p>
        </w:tc>
        <w:tc>
          <w:tcPr>
            <w:tcW w:w="1536" w:type="dxa"/>
          </w:tcPr>
          <w:p w:rsidR="000F0A6E" w:rsidRPr="00EF4F1B" w:rsidRDefault="000F0A6E" w:rsidP="00EF4F1B">
            <w:pPr>
              <w:jc w:val="both"/>
            </w:pPr>
            <w:r w:rsidRPr="00EF4F1B">
              <w:t>5</w:t>
            </w:r>
            <w:r w:rsidR="00D170EB" w:rsidRPr="00EF4F1B">
              <w:t>,</w:t>
            </w:r>
            <w:r w:rsidRPr="00EF4F1B">
              <w:t>5</w:t>
            </w:r>
          </w:p>
        </w:tc>
      </w:tr>
      <w:tr w:rsidR="000F0A6E" w:rsidRPr="00EF4F1B" w:rsidTr="00D170EB">
        <w:trPr>
          <w:jc w:val="center"/>
        </w:trPr>
        <w:tc>
          <w:tcPr>
            <w:tcW w:w="3381" w:type="dxa"/>
          </w:tcPr>
          <w:p w:rsidR="000F0A6E" w:rsidRPr="00EF4F1B" w:rsidRDefault="000F0A6E" w:rsidP="00EF4F1B">
            <w:pPr>
              <w:jc w:val="both"/>
            </w:pPr>
            <w:r w:rsidRPr="00EF4F1B">
              <w:t>PIB/habitant ($ US)</w:t>
            </w:r>
          </w:p>
        </w:tc>
        <w:tc>
          <w:tcPr>
            <w:tcW w:w="996" w:type="dxa"/>
          </w:tcPr>
          <w:p w:rsidR="000F0A6E" w:rsidRPr="00EF4F1B" w:rsidRDefault="00D170EB" w:rsidP="00EF4F1B">
            <w:pPr>
              <w:jc w:val="both"/>
            </w:pPr>
            <w:r w:rsidRPr="00EF4F1B">
              <w:t>8625,</w:t>
            </w:r>
            <w:r w:rsidR="000F0A6E" w:rsidRPr="00EF4F1B">
              <w:t>6</w:t>
            </w:r>
          </w:p>
        </w:tc>
        <w:tc>
          <w:tcPr>
            <w:tcW w:w="1536" w:type="dxa"/>
          </w:tcPr>
          <w:p w:rsidR="000F0A6E" w:rsidRPr="00EF4F1B" w:rsidRDefault="000F0A6E" w:rsidP="00EF4F1B">
            <w:pPr>
              <w:jc w:val="both"/>
            </w:pPr>
            <w:r w:rsidRPr="00EF4F1B">
              <w:t>8220</w:t>
            </w:r>
            <w:r w:rsidR="00D170EB" w:rsidRPr="00EF4F1B">
              <w:t>,</w:t>
            </w:r>
            <w:r w:rsidRPr="00EF4F1B">
              <w:t>4</w:t>
            </w:r>
          </w:p>
        </w:tc>
        <w:tc>
          <w:tcPr>
            <w:tcW w:w="1536" w:type="dxa"/>
          </w:tcPr>
          <w:p w:rsidR="000F0A6E" w:rsidRPr="00EF4F1B" w:rsidRDefault="000F0A6E" w:rsidP="00EF4F1B">
            <w:pPr>
              <w:jc w:val="both"/>
            </w:pPr>
            <w:r w:rsidRPr="00EF4F1B">
              <w:t>9886</w:t>
            </w:r>
            <w:r w:rsidR="00D170EB" w:rsidRPr="00EF4F1B">
              <w:t>,</w:t>
            </w:r>
            <w:r w:rsidRPr="00EF4F1B">
              <w:t>1</w:t>
            </w:r>
          </w:p>
        </w:tc>
      </w:tr>
      <w:tr w:rsidR="000F0A6E" w:rsidRPr="00EF4F1B" w:rsidTr="00D170EB">
        <w:trPr>
          <w:jc w:val="center"/>
        </w:trPr>
        <w:tc>
          <w:tcPr>
            <w:tcW w:w="3381" w:type="dxa"/>
          </w:tcPr>
          <w:p w:rsidR="000F0A6E" w:rsidRPr="00EF4F1B" w:rsidRDefault="000F0A6E" w:rsidP="00EF4F1B">
            <w:pPr>
              <w:jc w:val="both"/>
            </w:pPr>
            <w:r w:rsidRPr="00EF4F1B">
              <w:t>Taux d’inflation (en %)</w:t>
            </w:r>
          </w:p>
        </w:tc>
        <w:tc>
          <w:tcPr>
            <w:tcW w:w="996" w:type="dxa"/>
          </w:tcPr>
          <w:p w:rsidR="000F0A6E" w:rsidRPr="00EF4F1B" w:rsidRDefault="00D170EB" w:rsidP="00EF4F1B">
            <w:pPr>
              <w:jc w:val="both"/>
            </w:pPr>
            <w:r w:rsidRPr="00EF4F1B">
              <w:t>5,</w:t>
            </w:r>
            <w:r w:rsidR="000F0A6E" w:rsidRPr="00EF4F1B">
              <w:t>7</w:t>
            </w:r>
          </w:p>
        </w:tc>
        <w:tc>
          <w:tcPr>
            <w:tcW w:w="1536" w:type="dxa"/>
          </w:tcPr>
          <w:p w:rsidR="000F0A6E" w:rsidRPr="00EF4F1B" w:rsidRDefault="00D170EB" w:rsidP="00EF4F1B">
            <w:pPr>
              <w:jc w:val="both"/>
            </w:pPr>
            <w:r w:rsidRPr="00EF4F1B">
              <w:t>4,</w:t>
            </w:r>
            <w:r w:rsidR="000F0A6E" w:rsidRPr="00EF4F1B">
              <w:t>9</w:t>
            </w:r>
          </w:p>
        </w:tc>
        <w:tc>
          <w:tcPr>
            <w:tcW w:w="1536" w:type="dxa"/>
          </w:tcPr>
          <w:p w:rsidR="000F0A6E" w:rsidRPr="00EF4F1B" w:rsidRDefault="00D170EB" w:rsidP="00EF4F1B">
            <w:pPr>
              <w:jc w:val="both"/>
            </w:pPr>
            <w:r w:rsidRPr="00EF4F1B">
              <w:t>5,</w:t>
            </w:r>
            <w:r w:rsidR="000F0A6E" w:rsidRPr="00EF4F1B">
              <w:t>1</w:t>
            </w:r>
          </w:p>
        </w:tc>
      </w:tr>
    </w:tbl>
    <w:p w:rsidR="00C6109F" w:rsidRPr="00EF4F1B" w:rsidRDefault="00C6109F" w:rsidP="00EF4F1B">
      <w:pPr>
        <w:pStyle w:val="Lgende"/>
        <w:spacing w:before="60" w:after="120"/>
        <w:jc w:val="both"/>
      </w:pPr>
      <w:bookmarkStart w:id="1" w:name="_Toc365372020"/>
      <w:r w:rsidRPr="00EF4F1B">
        <w:t xml:space="preserve">Tableau </w:t>
      </w:r>
      <w:r w:rsidR="00EE6EDB">
        <w:rPr>
          <w:noProof/>
        </w:rPr>
        <w:fldChar w:fldCharType="begin"/>
      </w:r>
      <w:r w:rsidR="00EE6EDB">
        <w:rPr>
          <w:noProof/>
        </w:rPr>
        <w:instrText xml:space="preserve"> SEQ Tableau \* ARABIC </w:instrText>
      </w:r>
      <w:r w:rsidR="00EE6EDB">
        <w:rPr>
          <w:noProof/>
        </w:rPr>
        <w:fldChar w:fldCharType="separate"/>
      </w:r>
      <w:r w:rsidR="00ED2730" w:rsidRPr="00EF4F1B">
        <w:rPr>
          <w:noProof/>
        </w:rPr>
        <w:t>1</w:t>
      </w:r>
      <w:r w:rsidR="00EE6EDB">
        <w:rPr>
          <w:noProof/>
        </w:rPr>
        <w:fldChar w:fldCharType="end"/>
      </w:r>
      <w:r w:rsidRPr="00EF4F1B">
        <w:t>: Indicateurs économiques de croissance</w:t>
      </w:r>
      <w:bookmarkEnd w:id="1"/>
    </w:p>
    <w:tbl>
      <w:tblPr>
        <w:tblStyle w:val="Grilledutableau"/>
        <w:tblW w:w="0" w:type="auto"/>
        <w:jc w:val="center"/>
        <w:tblLook w:val="04A0" w:firstRow="1" w:lastRow="0" w:firstColumn="1" w:lastColumn="0" w:noHBand="0" w:noVBand="1"/>
      </w:tblPr>
      <w:tblGrid>
        <w:gridCol w:w="5101"/>
        <w:gridCol w:w="816"/>
      </w:tblGrid>
      <w:tr w:rsidR="00A64819" w:rsidRPr="00EF4F1B" w:rsidTr="00D170EB">
        <w:trPr>
          <w:jc w:val="center"/>
        </w:trPr>
        <w:tc>
          <w:tcPr>
            <w:tcW w:w="5101" w:type="dxa"/>
            <w:shd w:val="clear" w:color="auto" w:fill="BFBFBF" w:themeFill="background1" w:themeFillShade="BF"/>
            <w:vAlign w:val="center"/>
          </w:tcPr>
          <w:p w:rsidR="00A64819" w:rsidRPr="00EF4F1B" w:rsidRDefault="00D170EB" w:rsidP="00EF4F1B">
            <w:pPr>
              <w:jc w:val="both"/>
            </w:pPr>
            <w:r w:rsidRPr="00EF4F1B">
              <w:t>Partenaires commerciaux</w:t>
            </w:r>
            <w:r w:rsidRPr="00EF4F1B">
              <w:br/>
            </w:r>
            <w:r w:rsidR="00A64819" w:rsidRPr="00EF4F1B">
              <w:t>(en % des exportations)</w:t>
            </w:r>
          </w:p>
        </w:tc>
        <w:tc>
          <w:tcPr>
            <w:tcW w:w="816" w:type="dxa"/>
            <w:shd w:val="clear" w:color="auto" w:fill="BFBFBF" w:themeFill="background1" w:themeFillShade="BF"/>
            <w:vAlign w:val="center"/>
          </w:tcPr>
          <w:p w:rsidR="00A64819" w:rsidRPr="00EF4F1B" w:rsidRDefault="00D170EB" w:rsidP="00EF4F1B">
            <w:pPr>
              <w:jc w:val="both"/>
            </w:pPr>
            <w:r w:rsidRPr="00EF4F1B">
              <w:t>2006</w:t>
            </w:r>
          </w:p>
        </w:tc>
      </w:tr>
      <w:tr w:rsidR="00D170EB" w:rsidRPr="00EF4F1B" w:rsidTr="00D170EB">
        <w:trPr>
          <w:jc w:val="center"/>
        </w:trPr>
        <w:tc>
          <w:tcPr>
            <w:tcW w:w="5101" w:type="dxa"/>
          </w:tcPr>
          <w:p w:rsidR="00D170EB" w:rsidRPr="00EF4F1B" w:rsidRDefault="00D170EB" w:rsidP="00EF4F1B">
            <w:pPr>
              <w:jc w:val="both"/>
            </w:pPr>
            <w:r w:rsidRPr="00EF4F1B">
              <w:t>États-Unis</w:t>
            </w:r>
          </w:p>
        </w:tc>
        <w:tc>
          <w:tcPr>
            <w:tcW w:w="816" w:type="dxa"/>
          </w:tcPr>
          <w:p w:rsidR="00D170EB" w:rsidRPr="00EF4F1B" w:rsidRDefault="00D170EB" w:rsidP="00EF4F1B">
            <w:pPr>
              <w:jc w:val="both"/>
            </w:pPr>
            <w:r w:rsidRPr="00EF4F1B">
              <w:t>18</w:t>
            </w:r>
          </w:p>
        </w:tc>
      </w:tr>
      <w:tr w:rsidR="00D170EB" w:rsidRPr="00EF4F1B" w:rsidTr="00D170EB">
        <w:trPr>
          <w:jc w:val="center"/>
        </w:trPr>
        <w:tc>
          <w:tcPr>
            <w:tcW w:w="5101" w:type="dxa"/>
          </w:tcPr>
          <w:p w:rsidR="00D170EB" w:rsidRPr="00EF4F1B" w:rsidRDefault="00D170EB" w:rsidP="00EF4F1B">
            <w:pPr>
              <w:jc w:val="both"/>
            </w:pPr>
            <w:r w:rsidRPr="00EF4F1B">
              <w:t>Argentine</w:t>
            </w:r>
          </w:p>
        </w:tc>
        <w:tc>
          <w:tcPr>
            <w:tcW w:w="816" w:type="dxa"/>
          </w:tcPr>
          <w:p w:rsidR="00D170EB" w:rsidRPr="00EF4F1B" w:rsidRDefault="00D170EB" w:rsidP="00EF4F1B">
            <w:pPr>
              <w:jc w:val="both"/>
            </w:pPr>
            <w:r w:rsidRPr="00EF4F1B">
              <w:t>8,5</w:t>
            </w:r>
          </w:p>
        </w:tc>
      </w:tr>
      <w:tr w:rsidR="00D170EB" w:rsidRPr="00EF4F1B" w:rsidTr="00D170EB">
        <w:trPr>
          <w:jc w:val="center"/>
        </w:trPr>
        <w:tc>
          <w:tcPr>
            <w:tcW w:w="5101" w:type="dxa"/>
          </w:tcPr>
          <w:p w:rsidR="00D170EB" w:rsidRPr="00EF4F1B" w:rsidRDefault="00D170EB" w:rsidP="00EF4F1B">
            <w:pPr>
              <w:jc w:val="both"/>
            </w:pPr>
            <w:r w:rsidRPr="00EF4F1B">
              <w:t>Chine</w:t>
            </w:r>
          </w:p>
        </w:tc>
        <w:tc>
          <w:tcPr>
            <w:tcW w:w="816" w:type="dxa"/>
          </w:tcPr>
          <w:p w:rsidR="00D170EB" w:rsidRPr="00EF4F1B" w:rsidRDefault="00D170EB" w:rsidP="00EF4F1B">
            <w:pPr>
              <w:jc w:val="both"/>
            </w:pPr>
            <w:r w:rsidRPr="00EF4F1B">
              <w:t>6,1</w:t>
            </w:r>
          </w:p>
        </w:tc>
      </w:tr>
      <w:tr w:rsidR="00D170EB" w:rsidRPr="00EF4F1B" w:rsidTr="00D170EB">
        <w:trPr>
          <w:jc w:val="center"/>
        </w:trPr>
        <w:tc>
          <w:tcPr>
            <w:tcW w:w="5101" w:type="dxa"/>
          </w:tcPr>
          <w:p w:rsidR="00D170EB" w:rsidRPr="00EF4F1B" w:rsidRDefault="00D170EB" w:rsidP="00EF4F1B">
            <w:pPr>
              <w:jc w:val="both"/>
            </w:pPr>
            <w:r w:rsidRPr="00EF4F1B">
              <w:t>Pays-Bas</w:t>
            </w:r>
          </w:p>
        </w:tc>
        <w:tc>
          <w:tcPr>
            <w:tcW w:w="816" w:type="dxa"/>
          </w:tcPr>
          <w:p w:rsidR="00D170EB" w:rsidRPr="00EF4F1B" w:rsidRDefault="00D170EB" w:rsidP="00EF4F1B">
            <w:pPr>
              <w:jc w:val="both"/>
            </w:pPr>
            <w:r w:rsidRPr="00EF4F1B">
              <w:t>4,2</w:t>
            </w:r>
          </w:p>
        </w:tc>
      </w:tr>
      <w:tr w:rsidR="00D170EB" w:rsidRPr="00EF4F1B" w:rsidTr="00D170EB">
        <w:trPr>
          <w:jc w:val="center"/>
        </w:trPr>
        <w:tc>
          <w:tcPr>
            <w:tcW w:w="5101" w:type="dxa"/>
          </w:tcPr>
          <w:p w:rsidR="00D170EB" w:rsidRPr="00EF4F1B" w:rsidRDefault="00D170EB" w:rsidP="00EF4F1B">
            <w:pPr>
              <w:jc w:val="both"/>
            </w:pPr>
            <w:r w:rsidRPr="00EF4F1B">
              <w:t>Allemagne</w:t>
            </w:r>
          </w:p>
        </w:tc>
        <w:tc>
          <w:tcPr>
            <w:tcW w:w="816" w:type="dxa"/>
          </w:tcPr>
          <w:p w:rsidR="00D170EB" w:rsidRPr="00EF4F1B" w:rsidRDefault="00D170EB" w:rsidP="00EF4F1B">
            <w:pPr>
              <w:jc w:val="both"/>
            </w:pPr>
            <w:r w:rsidRPr="00EF4F1B">
              <w:t>4,1</w:t>
            </w:r>
          </w:p>
        </w:tc>
      </w:tr>
    </w:tbl>
    <w:p w:rsidR="00C6109F" w:rsidRPr="00EF4F1B" w:rsidRDefault="00C6109F" w:rsidP="00EF4F1B">
      <w:pPr>
        <w:pStyle w:val="Lgende"/>
        <w:spacing w:before="60" w:after="120"/>
        <w:jc w:val="both"/>
      </w:pPr>
      <w:bookmarkStart w:id="2" w:name="_Toc365372021"/>
      <w:r w:rsidRPr="00EF4F1B">
        <w:t xml:space="preserve">Tableau </w:t>
      </w:r>
      <w:r w:rsidR="00EE6EDB">
        <w:rPr>
          <w:noProof/>
        </w:rPr>
        <w:fldChar w:fldCharType="begin"/>
      </w:r>
      <w:r w:rsidR="00EE6EDB">
        <w:rPr>
          <w:noProof/>
        </w:rPr>
        <w:instrText xml:space="preserve"> SEQ Tableau \* ARABIC </w:instrText>
      </w:r>
      <w:r w:rsidR="00EE6EDB">
        <w:rPr>
          <w:noProof/>
        </w:rPr>
        <w:fldChar w:fldCharType="separate"/>
      </w:r>
      <w:r w:rsidR="00ED2730" w:rsidRPr="00EF4F1B">
        <w:rPr>
          <w:noProof/>
        </w:rPr>
        <w:t>2</w:t>
      </w:r>
      <w:r w:rsidR="00EE6EDB">
        <w:rPr>
          <w:noProof/>
        </w:rPr>
        <w:fldChar w:fldCharType="end"/>
      </w:r>
      <w:r w:rsidRPr="00EF4F1B">
        <w:t>: Exportations</w:t>
      </w:r>
      <w:bookmarkEnd w:id="2"/>
    </w:p>
    <w:tbl>
      <w:tblPr>
        <w:tblStyle w:val="Grilledutableau"/>
        <w:tblW w:w="0" w:type="auto"/>
        <w:jc w:val="center"/>
        <w:tblLook w:val="04A0" w:firstRow="1" w:lastRow="0" w:firstColumn="1" w:lastColumn="0" w:noHBand="0" w:noVBand="1"/>
      </w:tblPr>
      <w:tblGrid>
        <w:gridCol w:w="5128"/>
        <w:gridCol w:w="816"/>
      </w:tblGrid>
      <w:tr w:rsidR="00D170EB" w:rsidRPr="00EF4F1B" w:rsidTr="00D170EB">
        <w:trPr>
          <w:jc w:val="center"/>
        </w:trPr>
        <w:tc>
          <w:tcPr>
            <w:tcW w:w="5128" w:type="dxa"/>
            <w:shd w:val="clear" w:color="auto" w:fill="BFBFBF" w:themeFill="background1" w:themeFillShade="BF"/>
            <w:vAlign w:val="center"/>
          </w:tcPr>
          <w:p w:rsidR="00D170EB" w:rsidRPr="00EF4F1B" w:rsidRDefault="00D170EB" w:rsidP="00EF4F1B">
            <w:pPr>
              <w:jc w:val="both"/>
            </w:pPr>
            <w:r w:rsidRPr="00EF4F1B">
              <w:t>Partenaires commerciaux</w:t>
            </w:r>
            <w:r w:rsidRPr="00EF4F1B">
              <w:br/>
              <w:t>(en % des importations)</w:t>
            </w:r>
          </w:p>
        </w:tc>
        <w:tc>
          <w:tcPr>
            <w:tcW w:w="816" w:type="dxa"/>
            <w:shd w:val="clear" w:color="auto" w:fill="BFBFBF" w:themeFill="background1" w:themeFillShade="BF"/>
            <w:vAlign w:val="center"/>
          </w:tcPr>
          <w:p w:rsidR="00D170EB" w:rsidRPr="00EF4F1B" w:rsidRDefault="00D170EB" w:rsidP="00EF4F1B">
            <w:pPr>
              <w:jc w:val="both"/>
            </w:pPr>
            <w:r w:rsidRPr="00EF4F1B">
              <w:t>2006</w:t>
            </w:r>
          </w:p>
        </w:tc>
      </w:tr>
      <w:tr w:rsidR="00D170EB" w:rsidRPr="00EF4F1B" w:rsidTr="00D170EB">
        <w:trPr>
          <w:jc w:val="center"/>
        </w:trPr>
        <w:tc>
          <w:tcPr>
            <w:tcW w:w="5128" w:type="dxa"/>
          </w:tcPr>
          <w:p w:rsidR="00D170EB" w:rsidRPr="00EF4F1B" w:rsidRDefault="00D170EB" w:rsidP="00EF4F1B">
            <w:pPr>
              <w:jc w:val="both"/>
            </w:pPr>
            <w:r w:rsidRPr="00EF4F1B">
              <w:t>États-Unis</w:t>
            </w:r>
          </w:p>
        </w:tc>
        <w:tc>
          <w:tcPr>
            <w:tcW w:w="816" w:type="dxa"/>
          </w:tcPr>
          <w:p w:rsidR="00D170EB" w:rsidRPr="00EF4F1B" w:rsidRDefault="00D170EB" w:rsidP="00EF4F1B">
            <w:pPr>
              <w:jc w:val="both"/>
            </w:pPr>
            <w:r w:rsidRPr="00EF4F1B">
              <w:t>16,3</w:t>
            </w:r>
          </w:p>
        </w:tc>
      </w:tr>
      <w:tr w:rsidR="00D170EB" w:rsidRPr="00EF4F1B" w:rsidTr="00D170EB">
        <w:trPr>
          <w:jc w:val="center"/>
        </w:trPr>
        <w:tc>
          <w:tcPr>
            <w:tcW w:w="5128" w:type="dxa"/>
          </w:tcPr>
          <w:p w:rsidR="00D170EB" w:rsidRPr="00EF4F1B" w:rsidRDefault="00D170EB" w:rsidP="00EF4F1B">
            <w:pPr>
              <w:jc w:val="both"/>
            </w:pPr>
            <w:r w:rsidRPr="00EF4F1B">
              <w:t>Argentine</w:t>
            </w:r>
          </w:p>
        </w:tc>
        <w:tc>
          <w:tcPr>
            <w:tcW w:w="816" w:type="dxa"/>
          </w:tcPr>
          <w:p w:rsidR="00D170EB" w:rsidRPr="00EF4F1B" w:rsidRDefault="00D170EB" w:rsidP="00EF4F1B">
            <w:pPr>
              <w:jc w:val="both"/>
            </w:pPr>
            <w:r w:rsidRPr="00EF4F1B">
              <w:t>8,8</w:t>
            </w:r>
          </w:p>
        </w:tc>
      </w:tr>
      <w:tr w:rsidR="00D170EB" w:rsidRPr="00EF4F1B" w:rsidTr="00D170EB">
        <w:trPr>
          <w:jc w:val="center"/>
        </w:trPr>
        <w:tc>
          <w:tcPr>
            <w:tcW w:w="5128" w:type="dxa"/>
          </w:tcPr>
          <w:p w:rsidR="00D170EB" w:rsidRPr="00EF4F1B" w:rsidRDefault="00D170EB" w:rsidP="00EF4F1B">
            <w:pPr>
              <w:jc w:val="both"/>
            </w:pPr>
            <w:r w:rsidRPr="00EF4F1B">
              <w:t>Allemagne</w:t>
            </w:r>
          </w:p>
        </w:tc>
        <w:tc>
          <w:tcPr>
            <w:tcW w:w="816" w:type="dxa"/>
          </w:tcPr>
          <w:p w:rsidR="00D170EB" w:rsidRPr="00EF4F1B" w:rsidRDefault="00D170EB" w:rsidP="00EF4F1B">
            <w:pPr>
              <w:jc w:val="both"/>
            </w:pPr>
            <w:r w:rsidRPr="00EF4F1B">
              <w:t>8,7</w:t>
            </w:r>
          </w:p>
        </w:tc>
      </w:tr>
      <w:tr w:rsidR="00D170EB" w:rsidRPr="00EF4F1B" w:rsidTr="00D170EB">
        <w:trPr>
          <w:jc w:val="center"/>
        </w:trPr>
        <w:tc>
          <w:tcPr>
            <w:tcW w:w="5128" w:type="dxa"/>
          </w:tcPr>
          <w:p w:rsidR="00D170EB" w:rsidRPr="00EF4F1B" w:rsidRDefault="00D170EB" w:rsidP="00EF4F1B">
            <w:pPr>
              <w:jc w:val="both"/>
            </w:pPr>
            <w:r w:rsidRPr="00EF4F1B">
              <w:t>Chine</w:t>
            </w:r>
          </w:p>
        </w:tc>
        <w:tc>
          <w:tcPr>
            <w:tcW w:w="816" w:type="dxa"/>
          </w:tcPr>
          <w:p w:rsidR="00D170EB" w:rsidRPr="00EF4F1B" w:rsidRDefault="00D170EB" w:rsidP="00EF4F1B">
            <w:pPr>
              <w:jc w:val="both"/>
            </w:pPr>
            <w:r w:rsidRPr="00EF4F1B">
              <w:t>7,1</w:t>
            </w:r>
          </w:p>
        </w:tc>
      </w:tr>
      <w:tr w:rsidR="00D170EB" w:rsidRPr="00EF4F1B" w:rsidTr="00D170EB">
        <w:trPr>
          <w:jc w:val="center"/>
        </w:trPr>
        <w:tc>
          <w:tcPr>
            <w:tcW w:w="5128" w:type="dxa"/>
          </w:tcPr>
          <w:p w:rsidR="00D170EB" w:rsidRPr="00EF4F1B" w:rsidRDefault="00D170EB" w:rsidP="00EF4F1B">
            <w:pPr>
              <w:jc w:val="both"/>
            </w:pPr>
            <w:r w:rsidRPr="00EF4F1B">
              <w:t>Nigéria</w:t>
            </w:r>
          </w:p>
        </w:tc>
        <w:tc>
          <w:tcPr>
            <w:tcW w:w="816" w:type="dxa"/>
          </w:tcPr>
          <w:p w:rsidR="00D170EB" w:rsidRPr="00EF4F1B" w:rsidRDefault="00D170EB" w:rsidP="00EF4F1B">
            <w:pPr>
              <w:jc w:val="both"/>
            </w:pPr>
            <w:r w:rsidRPr="00EF4F1B">
              <w:t>4,3</w:t>
            </w:r>
          </w:p>
        </w:tc>
      </w:tr>
    </w:tbl>
    <w:p w:rsidR="00A22D65" w:rsidRPr="00EF4F1B" w:rsidRDefault="00ED2730" w:rsidP="00EF4F1B">
      <w:pPr>
        <w:pStyle w:val="Lgende"/>
        <w:spacing w:before="60" w:after="120"/>
        <w:jc w:val="both"/>
      </w:pPr>
      <w:bookmarkStart w:id="3" w:name="_Toc365372022"/>
      <w:r w:rsidRPr="00EF4F1B">
        <w:t xml:space="preserve">Tableau </w:t>
      </w:r>
      <w:r w:rsidR="00EE6EDB">
        <w:rPr>
          <w:noProof/>
        </w:rPr>
        <w:fldChar w:fldCharType="begin"/>
      </w:r>
      <w:r w:rsidR="00EE6EDB">
        <w:rPr>
          <w:noProof/>
        </w:rPr>
        <w:instrText xml:space="preserve"> SEQ Tableau \* ARABIC </w:instrText>
      </w:r>
      <w:r w:rsidR="00EE6EDB">
        <w:rPr>
          <w:noProof/>
        </w:rPr>
        <w:fldChar w:fldCharType="separate"/>
      </w:r>
      <w:r w:rsidRPr="00EF4F1B">
        <w:rPr>
          <w:noProof/>
        </w:rPr>
        <w:t>3</w:t>
      </w:r>
      <w:r w:rsidR="00EE6EDB">
        <w:rPr>
          <w:noProof/>
        </w:rPr>
        <w:fldChar w:fldCharType="end"/>
      </w:r>
      <w:r w:rsidRPr="00EF4F1B">
        <w:t>: Importations</w:t>
      </w:r>
      <w:bookmarkEnd w:id="3"/>
    </w:p>
    <w:p w:rsidR="00A22D65" w:rsidRPr="00EF4F1B" w:rsidRDefault="00A22D65" w:rsidP="00EF4F1B">
      <w:pPr>
        <w:jc w:val="both"/>
      </w:pPr>
    </w:p>
    <w:sectPr w:rsidR="00A22D65" w:rsidRPr="00EF4F1B" w:rsidSect="007A6436">
      <w:headerReference w:type="default" r:id="rId10"/>
      <w:footerReference w:type="default" r:id="rId11"/>
      <w:footnotePr>
        <w:numFmt w:val="lowerLetter"/>
      </w:footnotePr>
      <w:pgSz w:w="12240" w:h="15840" w:code="1"/>
      <w:pgMar w:top="1440" w:right="1797" w:bottom="1440" w:left="179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997" w:rsidRDefault="00724997">
      <w:r>
        <w:separator/>
      </w:r>
    </w:p>
  </w:endnote>
  <w:endnote w:type="continuationSeparator" w:id="0">
    <w:p w:rsidR="00724997" w:rsidRDefault="0072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436" w:rsidRPr="007A6436" w:rsidRDefault="00156ADC" w:rsidP="007A6436">
    <w:pPr>
      <w:pStyle w:val="Pieddepage"/>
      <w:rPr>
        <w:b/>
      </w:rPr>
    </w:pPr>
    <w:r>
      <w:t>Prénom Nom, groupe 123</w:t>
    </w:r>
    <w:r w:rsidR="007A6436">
      <w:tab/>
    </w:r>
    <w:r w:rsidR="007A6436">
      <w:tab/>
    </w:r>
    <w:r w:rsidR="007A6436" w:rsidRPr="007A6436">
      <w:rPr>
        <w:b/>
      </w:rPr>
      <w:fldChar w:fldCharType="begin"/>
    </w:r>
    <w:r w:rsidR="007A6436" w:rsidRPr="007A6436">
      <w:rPr>
        <w:b/>
      </w:rPr>
      <w:instrText>PAGE   \* MERGEFORMAT</w:instrText>
    </w:r>
    <w:r w:rsidR="007A6436" w:rsidRPr="007A6436">
      <w:rPr>
        <w:b/>
      </w:rPr>
      <w:fldChar w:fldCharType="separate"/>
    </w:r>
    <w:r w:rsidR="007A6436" w:rsidRPr="007A6436">
      <w:rPr>
        <w:b/>
        <w:lang w:val="fr-FR"/>
      </w:rPr>
      <w:t>1</w:t>
    </w:r>
    <w:r w:rsidR="007A6436" w:rsidRPr="007A6436">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997" w:rsidRDefault="00724997">
      <w:r>
        <w:separator/>
      </w:r>
    </w:p>
  </w:footnote>
  <w:footnote w:type="continuationSeparator" w:id="0">
    <w:p w:rsidR="00724997" w:rsidRDefault="0072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98" w:rsidRPr="007A6436" w:rsidRDefault="007A6436" w:rsidP="00712CB4">
    <w:pPr>
      <w:pStyle w:val="En-tte"/>
      <w:rPr>
        <w:sz w:val="20"/>
      </w:rPr>
    </w:pPr>
    <w:r w:rsidRPr="007A6436">
      <w:rPr>
        <w:sz w:val="20"/>
      </w:rPr>
      <w:t>Brésil</w:t>
    </w:r>
    <w:r w:rsidRPr="007A6436">
      <w:rPr>
        <w:sz w:val="20"/>
      </w:rPr>
      <w:tab/>
      <w:t>Olivier Jodoin</w:t>
    </w:r>
    <w:r w:rsidRPr="007A6436">
      <w:rPr>
        <w:sz w:val="20"/>
      </w:rPr>
      <w:tab/>
      <w:t>Date du jour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81E02"/>
    <w:multiLevelType w:val="hybridMultilevel"/>
    <w:tmpl w:val="DF66EC32"/>
    <w:lvl w:ilvl="0" w:tplc="80F4A1EE">
      <w:start w:val="1"/>
      <w:numFmt w:val="bullet"/>
      <w:lvlText w:val=""/>
      <w:lvlJc w:val="left"/>
      <w:pPr>
        <w:tabs>
          <w:tab w:val="num" w:pos="1080"/>
        </w:tabs>
        <w:ind w:left="108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1"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1638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9F"/>
    <w:rsid w:val="000204E6"/>
    <w:rsid w:val="000F0A6E"/>
    <w:rsid w:val="000F73FE"/>
    <w:rsid w:val="00156ADC"/>
    <w:rsid w:val="001A3180"/>
    <w:rsid w:val="001E35A1"/>
    <w:rsid w:val="0023109C"/>
    <w:rsid w:val="002334EA"/>
    <w:rsid w:val="00255091"/>
    <w:rsid w:val="002F2441"/>
    <w:rsid w:val="00304423"/>
    <w:rsid w:val="003926CD"/>
    <w:rsid w:val="003D0F6F"/>
    <w:rsid w:val="003F1B03"/>
    <w:rsid w:val="003F1B9A"/>
    <w:rsid w:val="003F7798"/>
    <w:rsid w:val="004424ED"/>
    <w:rsid w:val="005902ED"/>
    <w:rsid w:val="005B2B48"/>
    <w:rsid w:val="005B3EBC"/>
    <w:rsid w:val="0062778C"/>
    <w:rsid w:val="0063172A"/>
    <w:rsid w:val="00712CB4"/>
    <w:rsid w:val="00724997"/>
    <w:rsid w:val="00756E5E"/>
    <w:rsid w:val="007A6436"/>
    <w:rsid w:val="007C0289"/>
    <w:rsid w:val="007D17CE"/>
    <w:rsid w:val="007F367F"/>
    <w:rsid w:val="00804ACE"/>
    <w:rsid w:val="00852B8C"/>
    <w:rsid w:val="0086549A"/>
    <w:rsid w:val="00895E20"/>
    <w:rsid w:val="008D575B"/>
    <w:rsid w:val="00996C03"/>
    <w:rsid w:val="00A22D65"/>
    <w:rsid w:val="00A26E9F"/>
    <w:rsid w:val="00A64819"/>
    <w:rsid w:val="00A73A98"/>
    <w:rsid w:val="00AE413D"/>
    <w:rsid w:val="00AE48D3"/>
    <w:rsid w:val="00B00993"/>
    <w:rsid w:val="00B910CE"/>
    <w:rsid w:val="00C6109F"/>
    <w:rsid w:val="00C74353"/>
    <w:rsid w:val="00C839DE"/>
    <w:rsid w:val="00C87B45"/>
    <w:rsid w:val="00CB077E"/>
    <w:rsid w:val="00CC3451"/>
    <w:rsid w:val="00D170EB"/>
    <w:rsid w:val="00D4549F"/>
    <w:rsid w:val="00DC13A1"/>
    <w:rsid w:val="00E11715"/>
    <w:rsid w:val="00E21C9D"/>
    <w:rsid w:val="00E551EB"/>
    <w:rsid w:val="00E66897"/>
    <w:rsid w:val="00ED2730"/>
    <w:rsid w:val="00EE6EDB"/>
    <w:rsid w:val="00EF4F1B"/>
    <w:rsid w:val="00F407E5"/>
    <w:rsid w:val="00F42FAC"/>
    <w:rsid w:val="00FC21E4"/>
    <w:rsid w:val="00FD61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2E4D22"/>
  <w15:docId w15:val="{FF6BE571-7DCD-4D71-84F2-75D71E58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70EB"/>
    <w:rPr>
      <w:sz w:val="24"/>
      <w:szCs w:val="24"/>
    </w:rPr>
  </w:style>
  <w:style w:type="paragraph" w:styleId="Titre1">
    <w:name w:val="heading 1"/>
    <w:basedOn w:val="Normal"/>
    <w:qFormat/>
    <w:pPr>
      <w:spacing w:before="100" w:beforeAutospacing="1"/>
      <w:outlineLvl w:val="0"/>
    </w:pPr>
    <w:rPr>
      <w:rFonts w:ascii="Verdana" w:hAnsi="Verdana"/>
      <w:b/>
      <w:bCs/>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pPr>
      <w:spacing w:after="240"/>
      <w:jc w:val="center"/>
    </w:pPr>
    <w:rPr>
      <w:rFonts w:ascii="Arial" w:hAnsi="Arial" w:cs="Arial"/>
      <w:b/>
      <w:sz w:val="48"/>
      <w:szCs w:val="48"/>
      <w:lang w:eastAsia="fr-FR"/>
    </w:rPr>
  </w:style>
  <w:style w:type="paragraph" w:customStyle="1" w:styleId="Titresection">
    <w:name w:val="Titre section"/>
    <w:basedOn w:val="Normal"/>
    <w:pPr>
      <w:spacing w:before="240" w:after="120"/>
    </w:pPr>
    <w:rPr>
      <w:rFonts w:ascii="Arial" w:hAnsi="Arial" w:cs="Arial"/>
      <w:b/>
      <w:sz w:val="28"/>
      <w:szCs w:val="28"/>
      <w:lang w:eastAsia="fr-FR"/>
    </w:rPr>
  </w:style>
  <w:style w:type="paragraph" w:styleId="NormalWeb">
    <w:name w:val="Normal (Web)"/>
    <w:basedOn w:val="Normal"/>
    <w:pPr>
      <w:spacing w:after="100" w:afterAutospacing="1"/>
    </w:pPr>
    <w:rPr>
      <w:rFonts w:ascii="Verdana" w:hAnsi="Verdana"/>
      <w:sz w:val="20"/>
      <w:szCs w:val="20"/>
    </w:rPr>
  </w:style>
  <w:style w:type="paragraph" w:customStyle="1" w:styleId="writtenby">
    <w:name w:val="writtenby"/>
    <w:basedOn w:val="Normal"/>
    <w:pPr>
      <w:spacing w:after="100" w:afterAutospacing="1"/>
      <w:jc w:val="center"/>
    </w:pPr>
    <w:rPr>
      <w:rFonts w:ascii="Verdana" w:hAnsi="Verdana"/>
      <w:b/>
      <w:bCs/>
      <w:sz w:val="20"/>
      <w:szCs w:val="20"/>
    </w:rPr>
  </w:style>
  <w:style w:type="character" w:styleId="Accentuation">
    <w:name w:val="Emphasis"/>
    <w:basedOn w:val="Policepardfaut"/>
    <w:qFormat/>
    <w:rPr>
      <w:i/>
      <w:iCs/>
    </w:rPr>
  </w:style>
  <w:style w:type="character" w:customStyle="1" w:styleId="essay1">
    <w:name w:val="essay1"/>
    <w:basedOn w:val="Policepardfaut"/>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basedOn w:val="Normal"/>
    <w:semiHidden/>
    <w:pPr>
      <w:spacing w:line="300" w:lineRule="exact"/>
    </w:pPr>
    <w:rPr>
      <w:sz w:val="20"/>
      <w:szCs w:val="20"/>
      <w:lang w:val="en-CA" w:eastAsia="en-US"/>
    </w:rPr>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Textedebulles">
    <w:name w:val="Balloon Text"/>
    <w:basedOn w:val="Normal"/>
    <w:semiHidden/>
    <w:rsid w:val="00D4549F"/>
    <w:rPr>
      <w:rFonts w:ascii="Tahoma" w:hAnsi="Tahoma" w:cs="Tahoma"/>
      <w:sz w:val="16"/>
      <w:szCs w:val="16"/>
    </w:rPr>
  </w:style>
  <w:style w:type="table" w:styleId="Grilledutableau">
    <w:name w:val="Table Grid"/>
    <w:basedOn w:val="TableauNormal"/>
    <w:rsid w:val="000F0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86549A"/>
    <w:pPr>
      <w:spacing w:after="200"/>
    </w:pPr>
    <w:rPr>
      <w:i/>
      <w:iCs/>
      <w:color w:val="44546A" w:themeColor="text2"/>
      <w:sz w:val="18"/>
      <w:szCs w:val="18"/>
    </w:rPr>
  </w:style>
  <w:style w:type="paragraph" w:styleId="Tabledesillustrations">
    <w:name w:val="table of figures"/>
    <w:basedOn w:val="Normal"/>
    <w:next w:val="Normal"/>
    <w:uiPriority w:val="99"/>
    <w:unhideWhenUsed/>
    <w:rsid w:val="00E21C9D"/>
  </w:style>
  <w:style w:type="character" w:styleId="Lienhypertexte">
    <w:name w:val="Hyperlink"/>
    <w:basedOn w:val="Policepardfaut"/>
    <w:uiPriority w:val="99"/>
    <w:unhideWhenUsed/>
    <w:rsid w:val="00E21C9D"/>
    <w:rPr>
      <w:color w:val="0563C1" w:themeColor="hyperlink"/>
      <w:u w:val="single"/>
    </w:rPr>
  </w:style>
  <w:style w:type="character" w:customStyle="1" w:styleId="PieddepageCar">
    <w:name w:val="Pied de page Car"/>
    <w:basedOn w:val="Policepardfaut"/>
    <w:link w:val="Pieddepage"/>
    <w:uiPriority w:val="99"/>
    <w:rsid w:val="00A22D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08A1-2AD5-4557-B347-80A70EF2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3467</Words>
  <Characters>19724</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Brésil : Contexte National</vt:lpstr>
      <vt:lpstr>Le Brésil : Contexte National</vt:lpstr>
    </vt:vector>
  </TitlesOfParts>
  <Company>Les Éditions Logitell Inc</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Brésil : Contexte National</dc:title>
  <dc:creator>Julie Vézina</dc:creator>
  <cp:lastModifiedBy>Bénédicte St-Cyr</cp:lastModifiedBy>
  <cp:revision>11</cp:revision>
  <dcterms:created xsi:type="dcterms:W3CDTF">2013-10-02T19:30:00Z</dcterms:created>
  <dcterms:modified xsi:type="dcterms:W3CDTF">2020-03-20T16:10:00Z</dcterms:modified>
</cp:coreProperties>
</file>