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19928" w14:textId="2B365B17" w:rsidR="006E5718" w:rsidRPr="006E5718" w:rsidRDefault="006E5718" w:rsidP="00C7257D">
      <w:pPr>
        <w:spacing w:before="1080" w:after="1080"/>
        <w:jc w:val="center"/>
        <w:rPr>
          <w:rFonts w:ascii="Arial" w:hAnsi="Arial" w:cs="Arial"/>
          <w:sz w:val="52"/>
          <w:szCs w:val="52"/>
        </w:rPr>
      </w:pPr>
      <w:bookmarkStart w:id="0" w:name="_GoBack"/>
      <w:bookmarkEnd w:id="0"/>
      <w:r w:rsidRPr="006E5718">
        <w:rPr>
          <w:rFonts w:ascii="Arial" w:hAnsi="Arial" w:cs="Arial"/>
          <w:sz w:val="52"/>
          <w:szCs w:val="52"/>
        </w:rPr>
        <w:t>Loi canadienne sur la sécurité des produits de consommation</w:t>
      </w:r>
    </w:p>
    <w:p w14:paraId="4DCD62CE" w14:textId="77777777" w:rsidR="00475609" w:rsidRPr="00157DF2" w:rsidRDefault="00475609" w:rsidP="001059AD">
      <w:pPr>
        <w:pBdr>
          <w:bottom w:val="single" w:sz="24" w:space="1" w:color="A6A6A6" w:themeColor="background1" w:themeShade="A6"/>
        </w:pBdr>
        <w:spacing w:before="360" w:after="240"/>
        <w:rPr>
          <w:rFonts w:asciiTheme="minorHAnsi" w:hAnsiTheme="minorHAnsi" w:cstheme="minorHAnsi"/>
          <w:b/>
          <w:sz w:val="40"/>
          <w:szCs w:val="40"/>
        </w:rPr>
      </w:pPr>
      <w:r w:rsidRPr="00157DF2">
        <w:rPr>
          <w:rFonts w:asciiTheme="minorHAnsi" w:hAnsiTheme="minorHAnsi" w:cstheme="minorHAnsi"/>
          <w:b/>
          <w:sz w:val="40"/>
          <w:szCs w:val="40"/>
        </w:rPr>
        <w:t>Interdictions aux termes de la Loi</w:t>
      </w:r>
    </w:p>
    <w:p w14:paraId="5B54596B" w14:textId="77777777" w:rsidR="00475609" w:rsidRDefault="00475609" w:rsidP="00A932D9">
      <w:pPr>
        <w:spacing w:after="120" w:line="276" w:lineRule="auto"/>
      </w:pPr>
      <w:r w:rsidRPr="00475609">
        <w:t xml:space="preserve">La </w:t>
      </w:r>
      <w:r w:rsidRPr="00475609">
        <w:rPr>
          <w:i/>
        </w:rPr>
        <w:t>Loi canadienne sur la sécurité des produits de consommation</w:t>
      </w:r>
      <w:r w:rsidRPr="00475609">
        <w:t xml:space="preserve"> comporte plusieurs interdictions importantes visant les produits de consommation. La contravention de l’une ou l’autre de ces interdictions constitue une infraction à la Loi sujette à des poursuites criminelles.</w:t>
      </w:r>
    </w:p>
    <w:p w14:paraId="4DF73CE1" w14:textId="77777777" w:rsidR="00475609" w:rsidRPr="001111D9" w:rsidRDefault="00475609" w:rsidP="001059AD">
      <w:pPr>
        <w:spacing w:before="240" w:after="120"/>
        <w:rPr>
          <w:rFonts w:ascii="Arial" w:hAnsi="Arial" w:cs="Arial"/>
          <w:sz w:val="32"/>
          <w:szCs w:val="32"/>
        </w:rPr>
      </w:pPr>
      <w:r w:rsidRPr="001111D9">
        <w:rPr>
          <w:rFonts w:ascii="Arial" w:hAnsi="Arial" w:cs="Arial"/>
          <w:sz w:val="32"/>
          <w:szCs w:val="32"/>
        </w:rPr>
        <w:t>Produits interdits</w:t>
      </w:r>
    </w:p>
    <w:p w14:paraId="20E769DE" w14:textId="77777777" w:rsidR="00475609" w:rsidRDefault="00475609" w:rsidP="00EF6F5B">
      <w:pPr>
        <w:spacing w:after="240" w:line="276" w:lineRule="auto"/>
      </w:pPr>
      <w:r w:rsidRPr="00475609">
        <w:t>Il vous est interdit de fabriquer, d’importer au Canada ou de vendre tout produit de consommation figurant à l’annexe 2 de la Loi ou d’en faire la publicité. À titre d’exemples des produits interdits, mentionnons les marchettes pour bébés et les graines de jequirity. Le gouverneur en conseil peut, par règlement, modifier l’annexe 2.</w:t>
      </w:r>
    </w:p>
    <w:p w14:paraId="68D5333A" w14:textId="77777777" w:rsidR="00475609" w:rsidRPr="001111D9" w:rsidRDefault="00475609" w:rsidP="001059AD">
      <w:pPr>
        <w:spacing w:before="240" w:after="120"/>
        <w:rPr>
          <w:rFonts w:ascii="Arial" w:hAnsi="Arial" w:cs="Arial"/>
          <w:sz w:val="32"/>
          <w:szCs w:val="32"/>
        </w:rPr>
      </w:pPr>
      <w:r w:rsidRPr="001111D9">
        <w:rPr>
          <w:rFonts w:ascii="Arial" w:hAnsi="Arial" w:cs="Arial"/>
          <w:sz w:val="32"/>
          <w:szCs w:val="32"/>
        </w:rPr>
        <w:t>Produits qui ne sont pas conformes aux règlements</w:t>
      </w:r>
    </w:p>
    <w:p w14:paraId="561B2025" w14:textId="77777777" w:rsidR="00475609" w:rsidRDefault="00475609" w:rsidP="00EF6F5B">
      <w:pPr>
        <w:spacing w:after="240" w:line="276" w:lineRule="auto"/>
      </w:pPr>
      <w:r w:rsidRPr="00475609">
        <w:t>Il vous est interdit de fabriquer, d’importer au Canada, de faire la publicité ou de vendre tout produit de consommation qui n’est pas conforme aux exigences énoncées dans les règlements. Ces exigences incluent des exigences en matière de sécurité et de rendement. De telles exigences concernent, par exemple, les lits d’enfant, les bouilloires, les briquets, les vêtements de nuit pour enfants, les poussettes et les bijoux pour enfants.</w:t>
      </w:r>
    </w:p>
    <w:p w14:paraId="69AD10BE" w14:textId="77777777" w:rsidR="00475609" w:rsidRDefault="00475609" w:rsidP="00EF6F5B">
      <w:pPr>
        <w:spacing w:after="240" w:line="276" w:lineRule="auto"/>
      </w:pPr>
      <w:r w:rsidRPr="00475609">
        <w:t>Si vous fabriquez, importez au Canada ou vendez des produits de consommation ou si vous en faites la publicité, vous avez la responsabilité de connaître les exigences imposées dans les règlements.</w:t>
      </w:r>
    </w:p>
    <w:p w14:paraId="2F68390B" w14:textId="77777777" w:rsidR="00EF6F5B" w:rsidRPr="00EF6F5B" w:rsidRDefault="00EF6F5B" w:rsidP="00EF6F5B">
      <w:pPr>
        <w:spacing w:before="240" w:after="120"/>
        <w:rPr>
          <w:rFonts w:ascii="Arial" w:hAnsi="Arial" w:cs="Arial"/>
          <w:sz w:val="32"/>
          <w:szCs w:val="32"/>
        </w:rPr>
      </w:pPr>
      <w:r w:rsidRPr="00EF6F5B">
        <w:rPr>
          <w:rFonts w:ascii="Arial" w:hAnsi="Arial" w:cs="Arial"/>
          <w:sz w:val="32"/>
          <w:szCs w:val="32"/>
        </w:rPr>
        <w:t>Produit ayant fait l’objet d’un rappel</w:t>
      </w:r>
    </w:p>
    <w:p w14:paraId="4C6123AD" w14:textId="77777777" w:rsidR="00EF6F5B" w:rsidRDefault="00EF6F5B" w:rsidP="00EF6F5B">
      <w:pPr>
        <w:spacing w:line="276" w:lineRule="auto"/>
      </w:pPr>
      <w:r w:rsidRPr="00475609">
        <w:t>On considère comme une pratique commerciale responsable le fait de veiller à ce que les produits de consommation dangereux soient retirés du marché de manière efficace et opportune. Par conséquent, Santé Canada prévoit que la plupart des rappels seront effectués à l’initiative du fournisseur responsable, qui planifie et met en œuvre les détails du rappel de façon volontaire.</w:t>
      </w:r>
    </w:p>
    <w:p w14:paraId="45A28508" w14:textId="77777777" w:rsidR="00EF6F5B" w:rsidRDefault="00EF6F5B" w:rsidP="00EF6F5B">
      <w:pPr>
        <w:spacing w:after="240" w:line="276" w:lineRule="auto"/>
      </w:pPr>
      <w:r w:rsidRPr="00475609">
        <w:t xml:space="preserve">La </w:t>
      </w:r>
      <w:r w:rsidRPr="006C5D66">
        <w:rPr>
          <w:i/>
        </w:rPr>
        <w:t>Loi canadienne sur la sécurité des produits de consommation</w:t>
      </w:r>
      <w:r w:rsidRPr="00475609">
        <w:t xml:space="preserve"> confère au ministère de la Santé (Santé Canada) le pouvoir d’ordonner à toute personne qui fabrique, importe au Canada ou vend un produit de consommation à des fins commerciales de procéder au rappel du produit si Santé </w:t>
      </w:r>
      <w:r w:rsidRPr="00475609">
        <w:lastRenderedPageBreak/>
        <w:t>Canada a des motifs raisonnables de croire que le produit présente un danger pour la santé ou la sécurité humaines. Santé Canada a également le pouvoir d’exécuter un ordre de rappel si un fournisseur omet de le faire, aux frais du fournisseur.</w:t>
      </w:r>
    </w:p>
    <w:p w14:paraId="06D64DF0" w14:textId="77777777" w:rsidR="00EF6F5B" w:rsidRDefault="00EF6F5B" w:rsidP="00EF6F5B">
      <w:pPr>
        <w:spacing w:after="240" w:line="276" w:lineRule="auto"/>
      </w:pPr>
      <w:r w:rsidRPr="00475609">
        <w:t>Si vous êtes un fabricant ou un importateur, il vous est interdit de fabriquer, d’importer au Canada ou de vendre tout produit de consommation ou d’en faire la publicité s’il fait l’objet d’un ordre de rappel ou s’il a fait l’objet d’un rappel volontaire car il présente un danger pour la santé ou la sécurité humaines.</w:t>
      </w:r>
    </w:p>
    <w:p w14:paraId="6678B558" w14:textId="77777777" w:rsidR="00475609" w:rsidRPr="00157DF2" w:rsidRDefault="00475609" w:rsidP="00C7257D">
      <w:pPr>
        <w:pBdr>
          <w:bottom w:val="single" w:sz="24" w:space="1" w:color="A6A6A6" w:themeColor="background1" w:themeShade="A6"/>
        </w:pBdr>
        <w:spacing w:before="840" w:after="240"/>
        <w:rPr>
          <w:rFonts w:asciiTheme="minorHAnsi" w:hAnsiTheme="minorHAnsi" w:cstheme="minorHAnsi"/>
          <w:b/>
          <w:sz w:val="40"/>
          <w:szCs w:val="40"/>
        </w:rPr>
      </w:pPr>
      <w:r w:rsidRPr="00157DF2">
        <w:rPr>
          <w:rFonts w:asciiTheme="minorHAnsi" w:hAnsiTheme="minorHAnsi" w:cstheme="minorHAnsi"/>
          <w:b/>
          <w:sz w:val="40"/>
          <w:szCs w:val="40"/>
        </w:rPr>
        <w:t>Communication de renseignements</w:t>
      </w:r>
    </w:p>
    <w:p w14:paraId="3FD1E3E9" w14:textId="77777777" w:rsidR="00475609" w:rsidRPr="001111D9" w:rsidRDefault="00475609" w:rsidP="001059AD">
      <w:pPr>
        <w:spacing w:before="240" w:after="120"/>
        <w:rPr>
          <w:rFonts w:ascii="Arial" w:hAnsi="Arial" w:cs="Arial"/>
          <w:sz w:val="32"/>
          <w:szCs w:val="32"/>
        </w:rPr>
      </w:pPr>
      <w:r w:rsidRPr="001111D9">
        <w:rPr>
          <w:rFonts w:ascii="Arial" w:hAnsi="Arial" w:cs="Arial"/>
          <w:sz w:val="32"/>
          <w:szCs w:val="32"/>
        </w:rPr>
        <w:t>Renseignements personnels</w:t>
      </w:r>
    </w:p>
    <w:p w14:paraId="72212D8B" w14:textId="77777777" w:rsidR="00475609" w:rsidRDefault="00475609" w:rsidP="00EF6F5B">
      <w:pPr>
        <w:spacing w:after="240" w:line="276" w:lineRule="auto"/>
      </w:pPr>
      <w:r w:rsidRPr="00475609">
        <w:t xml:space="preserve">La </w:t>
      </w:r>
      <w:r w:rsidRPr="00790FF8">
        <w:rPr>
          <w:i/>
        </w:rPr>
        <w:t>Loi canadienne sur la sécurité des produits de consommation</w:t>
      </w:r>
      <w:r w:rsidRPr="00475609">
        <w:t xml:space="preserve"> autorise Santé Canada à communiquer des renseignements personnels à toute personne ou administration exerçant des fonctions relatives à la protection de la santé ou de la sécurité humaines, sans obtenir le consentement de la personne concernée si la communication de ces renseignements personnels est nécessaire à l’identification ou au traitement d’un danger grave pour la santé ou la sécurité humaines.</w:t>
      </w:r>
    </w:p>
    <w:p w14:paraId="7DDD2DC5" w14:textId="77777777" w:rsidR="00475609" w:rsidRDefault="00475609" w:rsidP="00EF6F5B">
      <w:pPr>
        <w:spacing w:after="240" w:line="276" w:lineRule="auto"/>
      </w:pPr>
      <w:r w:rsidRPr="00475609">
        <w:t xml:space="preserve">La communication de renseignements personnels effectuée en vertu de la </w:t>
      </w:r>
      <w:r w:rsidRPr="00790FF8">
        <w:rPr>
          <w:i/>
        </w:rPr>
        <w:t>Loi canadienne sur la sécurité des produits de consommation</w:t>
      </w:r>
      <w:r w:rsidRPr="00475609">
        <w:t xml:space="preserve"> n’a aucune incidence sur les dispositions de la </w:t>
      </w:r>
      <w:r w:rsidRPr="00EC5670">
        <w:rPr>
          <w:i/>
        </w:rPr>
        <w:t>Loi sur la protection des renseignements personne</w:t>
      </w:r>
      <w:r w:rsidR="00EC5670">
        <w:rPr>
          <w:i/>
        </w:rPr>
        <w:t>l</w:t>
      </w:r>
      <w:r w:rsidRPr="00EC5670">
        <w:rPr>
          <w:i/>
        </w:rPr>
        <w:t>s</w:t>
      </w:r>
      <w:r w:rsidRPr="00475609">
        <w:t xml:space="preserve">, en d’autres termes, la </w:t>
      </w:r>
      <w:r w:rsidRPr="00EC5670">
        <w:rPr>
          <w:i/>
        </w:rPr>
        <w:t>Loi sur la protection des renseignements personnels</w:t>
      </w:r>
      <w:r w:rsidRPr="00475609">
        <w:t xml:space="preserve"> continue de s’appliquer.</w:t>
      </w:r>
    </w:p>
    <w:p w14:paraId="2931DD92" w14:textId="77777777" w:rsidR="00475609" w:rsidRPr="001111D9" w:rsidRDefault="00475609" w:rsidP="00EF6F5B">
      <w:pPr>
        <w:spacing w:before="240" w:after="120"/>
        <w:rPr>
          <w:rFonts w:ascii="Arial" w:hAnsi="Arial" w:cs="Arial"/>
          <w:sz w:val="32"/>
          <w:szCs w:val="32"/>
        </w:rPr>
      </w:pPr>
      <w:r w:rsidRPr="001111D9">
        <w:rPr>
          <w:rFonts w:ascii="Arial" w:hAnsi="Arial" w:cs="Arial"/>
          <w:sz w:val="32"/>
          <w:szCs w:val="32"/>
        </w:rPr>
        <w:t>Communication de renseignements au public</w:t>
      </w:r>
    </w:p>
    <w:p w14:paraId="790DFF61" w14:textId="77777777" w:rsidR="00FE6A6B" w:rsidRDefault="00475609" w:rsidP="00EF6F5B">
      <w:pPr>
        <w:spacing w:after="240" w:line="276" w:lineRule="auto"/>
      </w:pPr>
      <w:r w:rsidRPr="00475609">
        <w:t>Santé Canada a le pouvoir de communiquer au public des renseignements relatifs au danger pour la santé ou la sécurité humaines que présente tout produit de consommation.</w:t>
      </w:r>
    </w:p>
    <w:p w14:paraId="290B282C" w14:textId="77777777" w:rsidR="00EF6F5B" w:rsidRPr="00EF6F5B" w:rsidRDefault="00EF6F5B" w:rsidP="00EF6F5B">
      <w:pPr>
        <w:spacing w:before="240" w:after="120"/>
        <w:rPr>
          <w:rFonts w:ascii="Arial" w:hAnsi="Arial" w:cs="Arial"/>
          <w:sz w:val="32"/>
          <w:szCs w:val="32"/>
        </w:rPr>
      </w:pPr>
      <w:r w:rsidRPr="00EF6F5B">
        <w:rPr>
          <w:rFonts w:ascii="Arial" w:hAnsi="Arial" w:cs="Arial"/>
          <w:sz w:val="32"/>
          <w:szCs w:val="32"/>
        </w:rPr>
        <w:t>Renseignements commerciaux confidentiels</w:t>
      </w:r>
    </w:p>
    <w:p w14:paraId="2C10E43F" w14:textId="77777777" w:rsidR="00EF6F5B" w:rsidRDefault="00EF6F5B" w:rsidP="00EF6F5B">
      <w:pPr>
        <w:spacing w:after="120" w:line="276" w:lineRule="auto"/>
      </w:pPr>
      <w:r w:rsidRPr="00475609">
        <w:t xml:space="preserve">Santé Canada peut, en vertu de la </w:t>
      </w:r>
      <w:r w:rsidRPr="00790FF8">
        <w:rPr>
          <w:i/>
        </w:rPr>
        <w:t>Loi canadienne sur la sécurité des produits de consommation</w:t>
      </w:r>
      <w:r w:rsidRPr="00475609">
        <w:t>, communiquer des renseignements commerciaux confidentiels sur un produit de consommation sans le consentement de la personne dont l’entreprise ou les activités sont liées à ces renseignements sans l’aviser au préalable, dans deux circonstances :</w:t>
      </w:r>
    </w:p>
    <w:p w14:paraId="1F110A93" w14:textId="77777777" w:rsidR="00EF6F5B" w:rsidRDefault="00EF6F5B" w:rsidP="00EF6F5B">
      <w:pPr>
        <w:pStyle w:val="Paragraphedeliste"/>
        <w:numPr>
          <w:ilvl w:val="0"/>
          <w:numId w:val="8"/>
        </w:numPr>
        <w:spacing w:after="120" w:line="276" w:lineRule="auto"/>
        <w:ind w:left="714" w:hanging="357"/>
      </w:pPr>
      <w:r w:rsidRPr="00475609">
        <w:t>S’il communique ces renseignements à une personne ou à une administration qui exerce des fonctions relatives à la protection de la santé ou de la sécurité humaines ou de l’environnement et s’il conclut avec le destinataire des renseignements une entente écrite prévoyant que des mesures seront prises pour assurer leur confidentialité et qu’ils ne seront utilisés que dans le cadre de l’exercice de ces fonctions</w:t>
      </w:r>
      <w:r>
        <w:t>.</w:t>
      </w:r>
    </w:p>
    <w:p w14:paraId="6BCF5A07" w14:textId="77777777" w:rsidR="00EF6F5B" w:rsidRDefault="00EF6F5B" w:rsidP="00EF6F5B">
      <w:pPr>
        <w:pStyle w:val="Paragraphedeliste"/>
        <w:numPr>
          <w:ilvl w:val="0"/>
          <w:numId w:val="8"/>
        </w:numPr>
        <w:spacing w:after="240" w:line="276" w:lineRule="auto"/>
        <w:ind w:left="714" w:hanging="357"/>
      </w:pPr>
      <w:r w:rsidRPr="00475609">
        <w:t xml:space="preserve">Si la communication des renseignements est essentielle pour remédier à un danger pour la santé ou la sécurité humaine ou pour l’environnement qui est grave et imminent et si la </w:t>
      </w:r>
      <w:r w:rsidRPr="00475609">
        <w:lastRenderedPageBreak/>
        <w:t>communication des renseignements est essentielle pour remédier à ce danger. Cependant, dans ce scénario, Santé Canada doit aviser la personne en cause au plus tard le premier jour ouvrable suivant la communication.</w:t>
      </w:r>
    </w:p>
    <w:p w14:paraId="0CBDBA54" w14:textId="77777777" w:rsidR="00EF6F5B" w:rsidRPr="00024143" w:rsidRDefault="00EF6F5B" w:rsidP="00EF6F5B">
      <w:pPr>
        <w:spacing w:before="240" w:after="120"/>
        <w:rPr>
          <w:rFonts w:ascii="Arial" w:hAnsi="Arial" w:cs="Arial"/>
          <w:smallCaps/>
          <w:sz w:val="28"/>
        </w:rPr>
      </w:pPr>
      <w:r w:rsidRPr="00EF6F5B">
        <w:rPr>
          <w:rFonts w:ascii="Arial" w:hAnsi="Arial" w:cs="Arial"/>
          <w:sz w:val="32"/>
          <w:szCs w:val="32"/>
        </w:rPr>
        <w:t>Communication de renseignements au public</w:t>
      </w:r>
    </w:p>
    <w:p w14:paraId="65A1DEB0" w14:textId="77777777" w:rsidR="00EF6F5B" w:rsidRPr="00FE6A6B" w:rsidRDefault="00EF6F5B" w:rsidP="008469CA">
      <w:pPr>
        <w:spacing w:after="240" w:line="276" w:lineRule="auto"/>
      </w:pPr>
      <w:r w:rsidRPr="00475609">
        <w:t>Santé Canada a le pouvoir de communiquer au public des renseignements relatifs au danger pour la santé ou la sécurité humaines que présente tout produit de consommation.</w:t>
      </w:r>
    </w:p>
    <w:sectPr w:rsidR="00EF6F5B" w:rsidRPr="00FE6A6B" w:rsidSect="00A932D9">
      <w:headerReference w:type="default" r:id="rId8"/>
      <w:pgSz w:w="12240" w:h="15840"/>
      <w:pgMar w:top="851"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81E54" w14:textId="77777777" w:rsidR="009C459B" w:rsidRDefault="009C459B" w:rsidP="00D83D54">
      <w:r>
        <w:separator/>
      </w:r>
    </w:p>
  </w:endnote>
  <w:endnote w:type="continuationSeparator" w:id="0">
    <w:p w14:paraId="42FFF51D" w14:textId="77777777" w:rsidR="009C459B" w:rsidRDefault="009C459B" w:rsidP="00D83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15D78" w14:textId="77777777" w:rsidR="009C459B" w:rsidRDefault="009C459B" w:rsidP="00D83D54">
      <w:r>
        <w:separator/>
      </w:r>
    </w:p>
  </w:footnote>
  <w:footnote w:type="continuationSeparator" w:id="0">
    <w:p w14:paraId="1082E12F" w14:textId="77777777" w:rsidR="009C459B" w:rsidRDefault="009C459B" w:rsidP="00D83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57862" w14:textId="77777777" w:rsidR="001A3C3C" w:rsidRDefault="009C459B" w:rsidP="001A3C3C">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75BAA"/>
    <w:multiLevelType w:val="hybridMultilevel"/>
    <w:tmpl w:val="91DE80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DEC76E6"/>
    <w:multiLevelType w:val="hybridMultilevel"/>
    <w:tmpl w:val="31D048F8"/>
    <w:lvl w:ilvl="0" w:tplc="E488F08E">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C111CC5"/>
    <w:multiLevelType w:val="hybridMultilevel"/>
    <w:tmpl w:val="F580C1D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27C3E61"/>
    <w:multiLevelType w:val="hybridMultilevel"/>
    <w:tmpl w:val="C2DE68E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5E35917"/>
    <w:multiLevelType w:val="hybridMultilevel"/>
    <w:tmpl w:val="115C645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7040E03"/>
    <w:multiLevelType w:val="hybridMultilevel"/>
    <w:tmpl w:val="646A9144"/>
    <w:lvl w:ilvl="0" w:tplc="75689970">
      <w:start w:val="1"/>
      <w:numFmt w:val="decimal"/>
      <w:lvlText w:val="%1."/>
      <w:lvlJc w:val="righ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5AE26055"/>
    <w:multiLevelType w:val="hybridMultilevel"/>
    <w:tmpl w:val="CB7CFB68"/>
    <w:lvl w:ilvl="0" w:tplc="F99EE608">
      <w:start w:val="1"/>
      <w:numFmt w:val="decimal"/>
      <w:pStyle w:val="Quick1"/>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658C02B7"/>
    <w:multiLevelType w:val="hybridMultilevel"/>
    <w:tmpl w:val="B1E8A3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2"/>
  </w:num>
  <w:num w:numId="5">
    <w:abstractNumId w:val="4"/>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609"/>
    <w:rsid w:val="00024143"/>
    <w:rsid w:val="00025135"/>
    <w:rsid w:val="000E2D46"/>
    <w:rsid w:val="001059AD"/>
    <w:rsid w:val="001111D9"/>
    <w:rsid w:val="001364A9"/>
    <w:rsid w:val="00155889"/>
    <w:rsid w:val="00157DF2"/>
    <w:rsid w:val="00197840"/>
    <w:rsid w:val="001B342F"/>
    <w:rsid w:val="001C3D6C"/>
    <w:rsid w:val="00201460"/>
    <w:rsid w:val="002019D5"/>
    <w:rsid w:val="00214296"/>
    <w:rsid w:val="002F37C7"/>
    <w:rsid w:val="003061C1"/>
    <w:rsid w:val="003A662E"/>
    <w:rsid w:val="003C6DB6"/>
    <w:rsid w:val="003F7FE0"/>
    <w:rsid w:val="00475609"/>
    <w:rsid w:val="004B083D"/>
    <w:rsid w:val="004C2863"/>
    <w:rsid w:val="006569EE"/>
    <w:rsid w:val="00674486"/>
    <w:rsid w:val="006A320C"/>
    <w:rsid w:val="006C5D66"/>
    <w:rsid w:val="006D7257"/>
    <w:rsid w:val="006E5718"/>
    <w:rsid w:val="007668B3"/>
    <w:rsid w:val="0078244B"/>
    <w:rsid w:val="00790FF8"/>
    <w:rsid w:val="007F45B1"/>
    <w:rsid w:val="008469CA"/>
    <w:rsid w:val="00863F8A"/>
    <w:rsid w:val="008B7478"/>
    <w:rsid w:val="008E56F8"/>
    <w:rsid w:val="00900E1E"/>
    <w:rsid w:val="00997DEC"/>
    <w:rsid w:val="009C459B"/>
    <w:rsid w:val="00A117DF"/>
    <w:rsid w:val="00A247DA"/>
    <w:rsid w:val="00A7218E"/>
    <w:rsid w:val="00A932D9"/>
    <w:rsid w:val="00B2300A"/>
    <w:rsid w:val="00BC5E7D"/>
    <w:rsid w:val="00C50F4F"/>
    <w:rsid w:val="00C7257D"/>
    <w:rsid w:val="00D00F8C"/>
    <w:rsid w:val="00D24BFA"/>
    <w:rsid w:val="00D54633"/>
    <w:rsid w:val="00D83D54"/>
    <w:rsid w:val="00DA3E44"/>
    <w:rsid w:val="00E62996"/>
    <w:rsid w:val="00EC5670"/>
    <w:rsid w:val="00EE0987"/>
    <w:rsid w:val="00EF6F5B"/>
    <w:rsid w:val="00FD7927"/>
    <w:rsid w:val="00FE6A6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9235E"/>
  <w15:docId w15:val="{C11F7B87-E8E3-433D-A345-6D6BA495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heme="minorBidi"/>
        <w:sz w:val="24"/>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60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D83D54"/>
    <w:pPr>
      <w:tabs>
        <w:tab w:val="center" w:pos="4320"/>
        <w:tab w:val="right" w:pos="8640"/>
      </w:tabs>
    </w:pPr>
  </w:style>
  <w:style w:type="character" w:customStyle="1" w:styleId="PieddepageCar">
    <w:name w:val="Pied de page Car"/>
    <w:basedOn w:val="Policepardfaut"/>
    <w:link w:val="Pieddepage"/>
    <w:uiPriority w:val="99"/>
    <w:rsid w:val="00D83D54"/>
  </w:style>
  <w:style w:type="paragraph" w:styleId="Textedebulles">
    <w:name w:val="Balloon Text"/>
    <w:basedOn w:val="Normal"/>
    <w:link w:val="TextedebullesCar"/>
    <w:uiPriority w:val="99"/>
    <w:semiHidden/>
    <w:unhideWhenUsed/>
    <w:rsid w:val="00D83D54"/>
    <w:rPr>
      <w:rFonts w:ascii="Tahoma" w:hAnsi="Tahoma" w:cs="Tahoma"/>
      <w:sz w:val="16"/>
      <w:szCs w:val="16"/>
    </w:rPr>
  </w:style>
  <w:style w:type="character" w:customStyle="1" w:styleId="TextedebullesCar">
    <w:name w:val="Texte de bulles Car"/>
    <w:basedOn w:val="Policepardfaut"/>
    <w:link w:val="Textedebulles"/>
    <w:uiPriority w:val="99"/>
    <w:semiHidden/>
    <w:rsid w:val="00D83D54"/>
    <w:rPr>
      <w:rFonts w:ascii="Tahoma" w:hAnsi="Tahoma" w:cs="Tahoma"/>
      <w:sz w:val="16"/>
      <w:szCs w:val="16"/>
    </w:rPr>
  </w:style>
  <w:style w:type="paragraph" w:styleId="Paragraphedeliste">
    <w:name w:val="List Paragraph"/>
    <w:basedOn w:val="Normal"/>
    <w:uiPriority w:val="34"/>
    <w:qFormat/>
    <w:rsid w:val="00475609"/>
    <w:pPr>
      <w:ind w:left="720"/>
      <w:contextualSpacing/>
    </w:pPr>
  </w:style>
  <w:style w:type="paragraph" w:customStyle="1" w:styleId="Quick1">
    <w:name w:val="Quick 1."/>
    <w:basedOn w:val="Normal"/>
    <w:rsid w:val="00475609"/>
    <w:pPr>
      <w:numPr>
        <w:numId w:val="3"/>
      </w:numPr>
    </w:pPr>
  </w:style>
  <w:style w:type="paragraph" w:styleId="En-tte">
    <w:name w:val="header"/>
    <w:basedOn w:val="Normal"/>
    <w:link w:val="En-tteCar"/>
    <w:uiPriority w:val="99"/>
    <w:unhideWhenUsed/>
    <w:rsid w:val="00475609"/>
    <w:pPr>
      <w:tabs>
        <w:tab w:val="center" w:pos="4320"/>
        <w:tab w:val="right" w:pos="8640"/>
      </w:tabs>
    </w:pPr>
  </w:style>
  <w:style w:type="character" w:customStyle="1" w:styleId="En-tteCar">
    <w:name w:val="En-tête Car"/>
    <w:basedOn w:val="Policepardfaut"/>
    <w:link w:val="En-tte"/>
    <w:uiPriority w:val="99"/>
    <w:rsid w:val="00475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66D1A-847C-47A0-91B6-5A8557250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791</Words>
  <Characters>4352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Therrien</dc:creator>
  <cp:lastModifiedBy>Julie Vezina</cp:lastModifiedBy>
  <cp:revision>29</cp:revision>
  <dcterms:created xsi:type="dcterms:W3CDTF">2012-03-26T13:12:00Z</dcterms:created>
  <dcterms:modified xsi:type="dcterms:W3CDTF">2019-10-17T15:36:00Z</dcterms:modified>
</cp:coreProperties>
</file>